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https://www.autoritedelaconcurrence.fr/fr/decision-de-controle-des-concentrations/relative-la-prise-de-controle-exclusif-de-sept-fonds-de-2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24-DCC-291 of December 19, 2024  </w:t>
        <w:br/>
        <w:t xml:space="preserve">regarding the exclusive control acquisition of seven business assets  </w:t>
        <w:br/>
        <w:t xml:space="preserve">by the company NDK  </w:t>
        <w:br/>
        <w:t xml:space="preserve">The Competition Authority,  </w:t>
        <w:br/>
        <w:t xml:space="preserve">Having regard to the complete notification file sent to the mergers department on December 2, 2024,  </w:t>
        <w:br/>
        <w:t xml:space="preserve">concerning the exclusive control acquisition of seven business assets by the company NDK, formalized  </w:t>
        <w:br/>
        <w:t xml:space="preserve">by a letter of intent signed on September 9, 2024, and a transfer agreement signed on  </w:t>
        <w:br/>
        <w:t xml:space="preserve">November 25,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NDK, via its subsidiary Parot  </w:t>
        <w:br/>
        <w:t xml:space="preserve">Automotive Atlantique, of seven business assets operated by the companies Automobiles  </w:t>
        <w:br/>
        <w:t xml:space="preserve">Palau and Automobiles Palau 17, active in the distribution of new and used motor vehicles and  </w:t>
        <w:br/>
        <w:t xml:space="preserve">in repair, located in Bruges (33), Bègles (33), Lormont (33), La Teste de  </w:t>
        <w:br/>
        <w:t xml:space="preserve">Buch (33), Saint-Georges-des-Coteaux (17), Rochefort (17) and Tonnay-Charente (17).  </w:t>
        <w:br/>
        <w:t xml:space="preserve">The 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24-229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