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https://www.autoritedelaconcurrence.fr/fr/decision-de-controle-des-concentrations/relative-la-prise-de-controle-exclusif-de-sept-fonds-de</w:t>
      </w:r>
    </w:p>
    <w:p>
      <w:r>
        <w:t>Pages translated : 4</w:t>
      </w:r>
    </w:p>
    <w:p/>
    <w:p>
      <w:r>
        <w:rPr>
          <w:b/>
        </w:rPr>
        <w:t>[Pages 1–3]</w:t>
      </w:r>
    </w:p>
    <w:p>
      <w:r>
        <w:t xml:space="preserve">FRENCH REPUBLIC  </w:t>
        <w:br/>
        <w:t xml:space="preserve">Decision No. 14-DCC-18 of February 25, 2014  </w:t>
        <w:br/>
        <w:t xml:space="preserve">regarding the exclusive control of seven business assets in automotive distribution by Mr. Ronan Chabot  </w:t>
        <w:br/>
        <w:t xml:space="preserve">The Competition Authority,  </w:t>
        <w:br/>
        <w:t xml:space="preserve">Having regard to the notification file submitted in full to the merger service on January 23, 2014, regarding the exclusive control by Mr. Ronan Chabot of seven business assets from the Gorrias group, formalized by a protocol dated December 23, 2013;  </w:t>
        <w:br/>
        <w:t xml:space="preserve">Having regard to Book IV of the Commercial Code relating to price freedom and competition, and in particular Articles L. 430-1 to L. 430-7;  </w:t>
        <w:br/>
        <w:t xml:space="preserve">Adopts the following decision:  </w:t>
        <w:br/>
        <w:t xml:space="preserve">I. The concerned companies and the operation  </w:t>
        <w:br/>
        <w:t xml:space="preserve">1. Mr. Ronan Chabot controls several active dealerships in the field of automotive distribution for brands Toyota, Lexus, Porsche, and Mercedes-Benz in the departments of Vendée (85), Charente Maritime (17), Indre-et-Loire (37), Gironde (33), Maine-et-Loire (49), and Nord (59).  </w:t>
        <w:br/>
        <w:t xml:space="preserve">2. The target business assets are held by subsidiaries of the Gorrias group, controlled by Mr. Frédérick Gorrias. These business assets located in Annezin-les-Béthune (62), Loison-sous-Lens (62), Dainville (62), Longuenesse (62), Isques (62), Cambrai (59), and Lambres-lez-Douai (59), are intended for the distribution of Mercedes-Benz brand vehicles.  </w:t>
        <w:br/>
        <w:t xml:space="preserve">3. By a protocol dated December 23, 2013, Messrs. Gorrias and Chabot agreed to the transfer of the target business assets to the latter.  </w:t>
        <w:br/>
        <w:t xml:space="preserve">4. As it results in the exclusive control of the seven target business assets by Mr. Ronan Chabot, the notified operation constitutes a concentration within the meaning of Article L. 430-1 of the Commercial Code.  </w:t>
        <w:br/>
        <w:t xml:space="preserve">5. The concerned companies together achieve a total worldwide turnover of over 75 million euros (group controlled by Mr. Chabot: 311.7 million euros for the fiscal year ending December 31, 2012; target business assets: 55.3 million euros for the same fiscal year). At least two of these companies achieve in France a turnover exceeding 15 million euros in the retail sector (group controlled by Mr. Chabot: 307.8 million euros for the fiscal year ending December 31, 2012; target business assets: 55.3 million euros for the same fiscal year). Given the turnovers of the companies concerned, it does not fall under the jurisdiction of the European Union. However, the control thresholds mentioned in point II of Article L. 430-2 of the Commercial Code are exceeded. Therefore, the present operation is subject to the provisions of Articles L. 430-3 and following of the Commercial Code relating to economic concentration.  </w:t>
        <w:br/>
        <w:t xml:space="preserve">II. Definition of Relevant Markets  </w:t>
        <w:br/>
        <w:t xml:space="preserve">A. DEFINITION OF PRODUCT AND SERVICE MARKETS  </w:t>
        <w:br/>
        <w:t xml:space="preserve">6. In the automotive distribution sector, the decisional practice1 distinguishes (i) the distribution of new passenger vehicles intended for private customers; (ii) the distribution of new passenger vehicles intended for professional customers; (iii) the distribution of commercial vehicles; (iv) the distribution of used vehicles; (v) the distribution of spare parts and automotive accessories; (vi) the distribution of maintenance and repair services for vehicles; (vii) the distribution of rental services.  </w:t>
        <w:br/>
        <w:t xml:space="preserve">7. There is no need to challenge these definitions during the examination of the present operation.  </w:t>
        <w:br/>
        <w:t xml:space="preserve">8. The concerned companies are simultaneously present in five of these markets, namely (i) the distribution of new passenger vehicles intended for private customers; (ii) the distribution of new passenger vehicles intended for professional customers; (iii) the distribution of used vehicles; (iv) the distribution of spare parts and automotive accessories; and (v) the distribution of maintenance and repair services for vehicles.  </w:t>
        <w:br/>
        <w:t xml:space="preserve">B. GEOGRAPHICAL DEFINITION OF MARKETS  </w:t>
        <w:br/>
        <w:t xml:space="preserve">9. Regarding the retail sale of new or used vehicles, spare parts and automotive accessories, and maintenance and repair services for vehicles, the decisional practice2 adopts a local definition, with the analysis generally conducted at the departmental level.  </w:t>
        <w:br/>
        <w:t xml:space="preserve">10. In this case, the parties are simultaneously active in the department of Nord (59). The acquirer does not operate any dealership in the department of Pas-de-Calais, thus the operation does not result in any overlap of activities there. However, as it concerns a department bordering the department of Nord (59), the competitive analysis will be conducted both on this single department and on a market comprising Nord and Pas-de-Calais.  </w:t>
        <w:br/>
        <w:t xml:space="preserve">III. Competitive Analysis  </w:t>
        <w:br/>
        <w:t xml:space="preserve">11. Regarding the calculation of market shares, the decisional practice3 uses as an indicator the ratio between the sales of new vehicles made by the parties in the departments concerned by the operation and the total registrations of new vehicles recorded in these same departments by the prefectures.  </w:t>
        <w:br/>
        <w:t xml:space="preserve">12. In the various markets concerned by the operation, the parties to the concentration present the following market shares:  </w:t>
        <w:br/>
        <w:t xml:space="preserve">Nord and Pas-de-  </w:t>
        <w:br/>
        <w:t xml:space="preserve">Nord  </w:t>
        <w:br/>
        <w:t xml:space="preserve">Calais  </w:t>
        <w:br/>
        <w:t xml:space="preserve">Business assets  </w:t>
        <w:br/>
        <w:t xml:space="preserve">Mr. Ronan  </w:t>
        <w:br/>
        <w:t xml:space="preserve">cumulative cumulative  </w:t>
        <w:br/>
        <w:t xml:space="preserve">Chabot  </w:t>
        <w:br/>
        <w:t xml:space="preserve">targets  </w:t>
        <w:br/>
        <w:t xml:space="preserve">Distribution of new passenger vehicles to 1.71% 0.33% 2.04% 2.98%  </w:t>
        <w:br/>
        <w:t xml:space="preserve">private customers  </w:t>
        <w:br/>
        <w:t xml:space="preserve">Distribution of new passenger vehicles and 1.71% 0.28% 1.99% 2.74%  </w:t>
        <w:br/>
        <w:t xml:space="preserve">intended for professional customers  </w:t>
        <w:br/>
        <w:t xml:space="preserve">Distribution of used vehicles 0.4% 0.05% 0.45% 0.74%  </w:t>
        <w:br/>
        <w:t xml:space="preserve">13. In the markets for the distribution of passenger vehicles and the distribution of used vehicles, the group controlled by Mr. Chabot will therefore hold in the concerned departments market shares below 3%, regardless of the market concerned.  </w:t>
        <w:br/>
        <w:t xml:space="preserve">14. In the market for the retail sale of spare parts and automotive accessories and in the market for maintenance and repair services for vehicles, the parties have not been able to provide their market shares. It should be noted that the operation does not result in any overlap of activities between the parties in the department of Pas-de-Calais and that, in the department of Nord, the group controlled by Mr. Chabot will control all the dealerships in the department following the operation. However, the new entity will still face competition from authorized repairers.  </w:t>
        <w:br/>
        <w:t>3 See the aforementioned decisions.</w:t>
      </w:r>
    </w:p>
    <w:p>
      <w:r>
        <w:rPr>
          <w:b/>
        </w:rPr>
        <w:t>[Pages 4–4]</w:t>
      </w:r>
    </w:p>
    <w:p>
      <w:r>
        <w:t>by the manufacturer Mercedes-Benz, who source spare parts directly from the manufacturer at the national level. It will also face competition from numerous independent garages and repairers as well as specialized brands such as Midas, Feu Vert, and Speedy, which may offer consumers identical or equivalent quality spare parts and accessories, as well as maintenance and repair services for motor vehicles similar to those provided by the dealerships of the entity resulting from the concentration.</w:t>
      </w:r>
    </w:p>
    <w:p>
      <w:r>
        <w:t>15. Given the above elements, the operation is not likely to harm competition in the relevant markets.</w:t>
      </w:r>
    </w:p>
    <w:p>
      <w:r>
        <w:t>DECIDES</w:t>
      </w:r>
    </w:p>
    <w:p>
      <w:r>
        <w:t>Sole Article: The operation notified under number 14-010 is authorized.</w:t>
      </w:r>
    </w:p>
    <w:p>
      <w:r>
        <w:t>The President,</w:t>
        <w:br/>
        <w:t>Bruno Lasserre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