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https://www.autoritedelaconcurrence.fr/fr/decision-de-controle-des-concentrations/relative-la-prise-de-controle-exclusif-de-sept-societes-0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20-DCC-47 of March 18, 2020</w:t>
        <w:br/>
        <w:t>regarding the exclusive control acquisition</w:t>
        <w:br/>
        <w:t>of seven companies from the plastics division of the Gazechim group</w:t>
        <w:br/>
        <w:t>by the Snetor group</w:t>
        <w:br/>
        <w:t>The Competition Authority,</w:t>
        <w:br/>
        <w:t>Having regard to the complete notification file submitted to the mergers department on February 17, 2020,</w:t>
        <w:br/>
        <w:t>concerning the exclusive control acquisition of seven companies from the plastics division of the Gazechim group</w:t>
        <w:br/>
        <w:t>by the Snetor group, formalized by a memorandum of understanding concluded on January 10, 2020;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The notified operation consists of the exclusive control acquisition, by the Snetor group, of seven</w:t>
        <w:br/>
        <w:t>companies from the plastics division of the Gazechim group. It constitutes a concentration within the meaning of</w:t>
        <w:br/>
        <w:t>Article L. 430-1 of the Commercial Code. Given the turnover generated by the</w:t>
        <w:br/>
        <w:t>concerned companies, the operation does not fall under the jurisdiction of the European Union. However, the control thresholds mentioned in I of Article L. 430-2 of the Commercial Code are exceeded. The present operation is therefore subject to the provisions of Articles L. 430-3 and</w:t>
        <w:br/>
        <w:t>following of the Commercial Code relating to economic concentration.</w:t>
        <w:br/>
        <w:t>The markets concerned by the operation are those of polymers, which are consistently defined by the decision-making practice of the competition authorities.</w:t>
        <w:br/>
        <w:t>Regardless of the segmentation considered, the combined market shares of the parties are</w:t>
        <w:br/>
        <w:t>below 25%.</w:t>
        <w:br/>
        <w:t>Given the elements of the file and in particular in light of point 384 of the guidelines of</w:t>
        <w:br/>
        <w:t>the Competition Authority relating to the control of concentrations, the operation is not likely to harm competition.</w:t>
      </w:r>
    </w:p>
    <w:p>
      <w:r>
        <w:t>DECIDES</w:t>
        <w:br/>
        <w:t>Sole Article: The operation notified under number 20-001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