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https://www.autoritedelaconcurrence.fr/fr/decision-de-controle-des-concentrations/relative-la-prise-de-controle-exclusif-de-sept-societes-du</w:t>
      </w:r>
    </w:p>
    <w:p>
      <w:r>
        <w:t>Pages translated : 2</w:t>
      </w:r>
    </w:p>
    <w:p/>
    <w:p>
      <w:r>
        <w:rPr>
          <w:b/>
        </w:rPr>
        <w:t>[Pages 1–2]</w:t>
      </w:r>
    </w:p>
    <w:p>
      <w:r>
        <w:t>FRENCH REPUBLIC</w:t>
        <w:br/>
        <w:t>Decision No. 18-DCC-61 of April 18, 2018</w:t>
        <w:br/>
        <w:t>regarding the exclusive control acquisition of seven companies of the Conraux group by the company Grands Garages du Pas-de-Calais</w:t>
        <w:br/>
        <w:t>The Competition Authority,</w:t>
        <w:br/>
        <w:t>Having regard to the complete notification file sent to the mergers department on March 15, 2018, concerning the exclusive control acquisition of seven companies of the Conraux group by the company Grands Garages du Pas-de-Calais SAS and formalized by a letter of intent dated December 26, 2017;</w:t>
        <w:br/>
        <w:t>Having regard to Book IV of the Commercial Code relating to the freedom of prices and competition, and in particular its Articles L. 430-1 to L. 430-7;</w:t>
        <w:br/>
        <w:t>Having regard to the elements transmitted during the investigation by the notifying party;</w:t>
        <w:br/>
        <w:t>Adopts the following decision:</w:t>
        <w:br/>
        <w:t>1. The notified operation consists of the exclusive control acquisition by the company Grands Garages du Pas-de-Calais SAS of seven companies of the Conraux group, which operate five car dealerships of the brands Renault, Dacia, and Nissan in the departments of Aisne (02) and Nord (59).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The operational companies C.D.V.M.A SAS, Garage Moderne SAS, Sanac SAS, Le Relais SAS and the real estate companies SCI Stafrane, La Chapelle Saint Pierre SCI and Saint Louvroil SCI.</w:t>
      </w:r>
    </w:p>
    <w:p>
      <w:r>
        <w:t>DECIDES</w:t>
        <w:br/>
        <w:t>Sole Article: The operation notified under number 18-046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