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https://www.autoritedelaconcurrence.fr/fr/decision-de-controle-des-concentrations/relative-la-prise-de-controle-exclusif-de-sept-societes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23-DCC-94 of June 2, 2023  </w:t>
        <w:br/>
        <w:t xml:space="preserve">regarding the exclusive control acquisition of seven companies owned by  </w:t>
        <w:br/>
        <w:t xml:space="preserve">Elaste by ITM Entreprises  </w:t>
        <w:br/>
        <w:t xml:space="preserve">The Competition Authority,  </w:t>
        <w:br/>
        <w:t xml:space="preserve">Having regard to the complete notification file submitted to the mergers department on May 12, 2023,  </w:t>
        <w:br/>
        <w:t xml:space="preserve">concerning the exclusive control acquisition of the companies Amdi, Elsam, Pomeranie, Progecom, Longam,  </w:t>
        <w:br/>
        <w:t xml:space="preserve">St Nicolas Gourmet, and La cave des Saverneys owned by Elaste by ITM Entreprises, via ITM Alimentaire Centre Est, formalized by a letter of offer dated September 30,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ITM Entreprises of  </w:t>
        <w:br/>
        <w:t xml:space="preserve">seven companies owned by Elaste. The companies Elsam, Longam, and Pomeranie  </w:t>
        <w:br/>
        <w:t xml:space="preserve">operate respectively food distribution businesses of supermarket type with areas of 1,200 m² located in Dijon (21), 2,020 m² located in Longvic (21), and 2,170 m² located in Dijon (21). The companies Amdi and Progecom operate  </w:t>
        <w:br/>
        <w:t xml:space="preserve">respectively food distribution businesses of hypermarket type with areas of 2,885 m² located in Fontaine-les-Dijon (21) and 2,590 m² located in Saint-Apollinaire (21). The company St Nicolas Gourmet engages in the manufacturing of  </w:t>
        <w:br/>
        <w:t xml:space="preserve">bakery, pastry, and catering products in Dijon. Finally, the company La cave des Saverneys  </w:t>
        <w:br/>
        <w:t xml:space="preserve">operates as a wine merchant in Fontaine-les-Dijon. This constitutes a concentration operation within the meaning of Article L. 430-1 of the Commercial Code. Given the turnover generated by the companies concerned, the operation does not fall under the jurisdiction of  </w:t>
        <w:br/>
        <w:t xml:space="preserve">the European Union. However, the retail control thresholds mentioned in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23-131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