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https://www.autoritedelaconcurrence.fr/fr/decision-de-controle-des-concentrations/relative-la-prise-de-controle-exclusif-de-seveal-union-par</w:t>
      </w:r>
    </w:p>
    <w:p>
      <w:r>
        <w:t>Pages translated : 7</w:t>
      </w:r>
    </w:p>
    <w:p/>
    <w:p>
      <w:r>
        <w:rPr>
          <w:b/>
        </w:rPr>
        <w:t>[Pages 1–3]</w:t>
      </w:r>
    </w:p>
    <w:p>
      <w:r>
        <w:t xml:space="preserve">FRENCH REPUBLIC  </w:t>
        <w:br/>
        <w:t xml:space="preserve">Decision No. 12-DCC-75 of June 18, 2012  </w:t>
        <w:br/>
        <w:t xml:space="preserve">regarding the exclusive control of Seveal-Union  </w:t>
        <w:br/>
        <w:t>by the Vivescia group</w:t>
      </w:r>
    </w:p>
    <w:p>
      <w:r>
        <w:t xml:space="preserve">The Competition Authority,  </w:t>
        <w:br/>
        <w:t xml:space="preserve">Having regard to the notification file submitted in full to the merger service on May 11, 2012,  </w:t>
        <w:br/>
        <w:t xml:space="preserve">regarding the exclusive control of Seveal-Union by the cooperative group Vivescia,  </w:t>
        <w:br/>
        <w:t xml:space="preserve">formalized by a protocol of agreement dated April 20, 2012;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Vivescia, resulting from the merger of Champagne Céréales and Nouricia1, is an agricultural cooperative  </w:t>
        <w:br/>
        <w:t xml:space="preserve">with more than 10,000 cooperative members primarily located in the departments of Marne, Haute-Marne, Aube, Côte d’Or, Ardennes, Meuse, and Aisne. It is the holding company of the Vivescia group which is, through its agricultural division, primarily active in the collection, purchase, and resale of the productions of its cooperative members, mainly wheat, barley, corn, and rapeseed, and the marketing of agricultural supply products to its members. It is also present downstream at the stage of industrial processing of cereals (milling, malting, corn processing, starch/glucose production, bakery products, pastry, animal nutrition, and bioenergy).  </w:t>
        <w:br/>
        <w:t xml:space="preserve">2. Seveal-Union is a union of agricultural cooperatives whose capital is divided among three cooperative members, namely (i) the Vivescia group ([…] % of the capital), (ii) the agricultural cooperative Acolyance2 ([…] %), and (iii) the cooperative group EMC2 ([…] %). Seveal Union is managed by a board of directors composed of four members elected by the general assembly from among the cooperative members by a majority of the votes cast. Furthermore, each cooperative member has one vote in the general assembly and an additional number of votes determined by the proportion of turnover achieved with Seveal-Union. However, through this weighting, the same cooperative member cannot, under any circumstances, hold in the general assembly a number of votes exceeding two-fifths of the total number of votes present or represented at the general assembly. Therefore, under these conditions, none of the three cooperative members holds, alone or jointly, control of Seveal-Union. It is primarily active in the wholesale purchase and resale of agricultural supply products for crops (seeds, fertilizers, and phytosanitary products) primarily for its cooperative members.  </w:t>
        <w:br/>
        <w:t xml:space="preserve">3. By a protocol of agreement dated April 20, 2012, formalizing the commitments made before the Competition Authority by the cooperatives Champagne Céréales and Nouricia during their merger operation3, it is provided for the exit of the EMC2 group from the capital of Seveal-Union. The capital and voting rights will now be distributed between Vivescia ([…] %) and Acolyance ([…] %). Since the members of the board of directors, responsible for the management of the union, are designated by a majority of the voting rights of the general assembly, the exit of EMC2 from the capital of Seveal-Union leads to the exclusive control of the union by the Vivescia group. This operation thus constitutes a concentration operation within the meaning of Article L.430-1 of the Commercial Code.  </w:t>
        <w:br/>
        <w:t>4. The concerned companies together achieve a total worldwide turnover of more than 150 million euros (Vivescia group: […] billion euros for the fiscal year ending June 30, 2011; Seveal Union: […] million euros for the same period). At least two of these companies achieve a turnover in France exceeding 50 million euros (Vivescia group: […] billion euros for the fiscal year ending June 30, 2011; Seveal Union: […] million euros for the same period). Since each of the concerned companies achieves more than two-thirds of its total turnover within the Community in a single Member State, France,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National4 and Community5 competition authorities traditionally consider that in the field of agricultural supply, two product markets must be distinguished: on the one hand, the upstream market involving manufacturers, as sellers, and distributors  </w:t>
        <w:br/>
        <w:t xml:space="preserve">2 Acolyance is an agricultural cooperative resulting from the merger between Cohésis and Axion, authorized by a decision of the Competition Authority No. 12-DCC-19 dated February 13, 2012.  </w:t>
        <w:br/>
        <w:t xml:space="preserve">3 See decision of the Competition Authority No. 12-DCC-42 of March 26, 2012, regarding the merger between the Champagne Céréales cooperative and the Nouricia cooperative.  </w:t>
        <w:br/>
        <w:t xml:space="preserve">4 See for example the decision of the Competition Authority No. 10-DCC-66 of June 28, 2010, regarding the seed sector.  </w:t>
        <w:br/>
        <w:t>5 See for example the decision of the European Commission No. COMP/M.5675 of November 17, 2010, regarding the seed sector.</w:t>
      </w:r>
    </w:p>
    <w:p>
      <w:r>
        <w:t xml:space="preserve">or agricultural cooperatives, as buyers; on the other hand, the downstream market involving these entities, this time as resellers, and farmers, as buyers.  </w:t>
        <w:br/>
        <w:t xml:space="preserve">6. Furthermore, for certain categories of products, such as mineral fertilizers, decisional practice has identified several distribution channels. Thus, in its decision No. COMP/M.4730, the European Commission distinguished (i) the supply of fertilizers to wholesalers, (ii) the supply to distributors/retailers, and (iii) the supply to final customers6.  </w:t>
        <w:br/>
        <w:t xml:space="preserve">7. In the present case, Vivescia is primarily active in the downstream market of retail distribution of agricultural supply products to farmers and, incidentally, in the manufacturing of fertilizers. Seveal-Union, for its part, has the sole mission of selling, primarily to its cooperative members, agricultural supply products for crops (seeds, fertilizers, and phytosanitary products), which it has purchased from Seveal SA, the latter having itself purchased them from manufacturers or suppliers. In the absence of any stores and networks of crop technicians, Seveal-Union does not make any direct sales to farmers. Seveal-Union thus presents itself as a wholesale trading intermediary for agricultural supply products, with regional or local distributors and agricultural cooperatives being able to choose to source either directly from manufacturers or from intermediaries such as Seveal-Union.  </w:t>
        <w:br/>
        <w:t>8. Therefore, the activities of the parties do not overlap, as Vivescia and Seveal-Union operate at different stages in the value chain. However, this operation will lead to a vertical integration of the future entity at two levels: on the one hand, in the fertilizer market (manufacturing, wholesale trade, retail distribution); on the other hand, in the wholesale and retail distribution markets of all types of agricultural supply products. It is therefore necessary to define each of these markets more precisely.</w:t>
      </w:r>
    </w:p>
    <w:p>
      <w:r>
        <w:t xml:space="preserve">A. THE MARKETS FOR FERTILIZER MANUFACTURING  </w:t>
        <w:br/>
        <w:t xml:space="preserve">9. In terms of fertilizers, nitrogen (N), phosphate (P), and potassium (K) are the three primary nutrients added to the soil to promote plant growth. Fertilizers can exist in a simple form (fertilizers based on pure nitrogen, pure phosphate, or pure potash) or in a compound form, that is to say containing a combination of N, P, K (compound fertilizers). Similarly, fertilizers can be manufactured and marketed in solid or liquid form.  </w:t>
        <w:br/>
        <w:t xml:space="preserve">10. Community7 and national8 decisional practice has estimated that mineral fertilizers are distinct from organic fertilizers and has considered segmenting the market for mineral fertilizers based on the substance used (nitrogen market/phosphate market/potassium market). Similarly, a distinction has been considered between simple fertilizers and compound fertilizers, and even a distinction between fertilizers in solid form and fertilizers in liquid form9.  </w:t>
        <w:br/>
        <w:t xml:space="preserve">6 European Commission, decision of September 21, 2007, M.4730, Yara / Kemira Growhow.  </w:t>
        <w:br/>
        <w:t xml:space="preserve">7 See notably the decision of the European Commission No. COMP/M.4730 Yara / Kemira Growhow of September 21, 2007.  </w:t>
        <w:br/>
        <w:t xml:space="preserve">8 See notably the letter from Minister C2004-159 of November 26, 2004.  </w:t>
        <w:br/>
        <w:t>9 See notably the decision of the European Commission No. COMP/M. 2524 HYDRO / SQM / ROTEM / JV of December 5, 2001.</w:t>
      </w:r>
    </w:p>
    <w:p>
      <w:r>
        <w:rPr>
          <w:b/>
        </w:rPr>
        <w:t>[Pages 4–6]</w:t>
      </w:r>
    </w:p>
    <w:p>
      <w:r>
        <w:t>11. Regarding the geographic dimension of the markets, decision-making practice has estimated, on several occasions, that the markets for the production and marketing of fertilizers were at least European in dimension, particularly considering the levels of importation of these products10.</w:t>
      </w:r>
    </w:p>
    <w:p>
      <w:r>
        <w:t>12. In the present case, given the available data, the notifying party presented its market shares solely on the national market, its position being significantly weaker at a supra-national level.</w:t>
      </w:r>
    </w:p>
    <w:p>
      <w:r>
        <w:t>13. In any event, the question of the precise delineation of these markets can be left open, insofar as, regardless of the hypothesis adopted, the conclusions of the competitive analysis will remain unchanged.</w:t>
      </w:r>
    </w:p>
    <w:p>
      <w:r>
        <w:t>B. THE WHOLESALE MARKETS FOR AGRICULTURAL SUPPLY PRODUCTS</w:t>
      </w:r>
    </w:p>
    <w:p>
      <w:r>
        <w:t>14. The notifying party believes that the wholesale market should be segmented based on the major product categories, namely (i) seeds, (ii) fertilizers, and (iii) plant protection products. On the other hand, regarding wholesale activity, it considers that a finer segmentation by type of seeds, fertilizers, or plant protection products is not relevant, as wholesalers distribute all types of products within a category.</w:t>
      </w:r>
    </w:p>
    <w:p>
      <w:r>
        <w:t>15. Decision-making practice11 has confirmed that with respect to fertilizers, competitive analysis could be conducted on a global wholesale market to distributors/retailers, such practice potentially extending to other product categories.</w:t>
      </w:r>
    </w:p>
    <w:p>
      <w:r>
        <w:t>16. Regarding the geographic dimension of the markets, the notifying party, while presenting its market shares at the national level, believes that the markets could have a supranational dimension. The European Commission had retained a national dimension for the wholesale fertilizer market.</w:t>
      </w:r>
    </w:p>
    <w:p>
      <w:r>
        <w:t>17. In any event, in the absence of any difficulty in the competitive analysis, the question of the precise definition of these markets can be left open.</w:t>
      </w:r>
    </w:p>
    <w:p>
      <w:r>
        <w:t>C. THE RETAIL MARKETS FOR AGRICULTURAL SUPPLY PRODUCTS</w:t>
      </w:r>
    </w:p>
    <w:p>
      <w:r>
        <w:t>18. In the field of agricultural supply, national decision-making practice12 has retained a segmentation based on the type of crops, distinguishing in particular between market gardening and mixed farming, and has considered the existence of a distinct market for the distribution of products for vineyards.</w:t>
      </w:r>
    </w:p>
    <w:p>
      <w:r>
        <w:t>19. Regarding the distribution of agricultural supply products intended for mixed farming, national competition authorities13 distinguish between the distribution of seeds, the distribution of fertilizers, the distribution of plant protection products, the distribution of other agricultural materials, and even the distribution of amendments, while emphasizing the existence of a strong substitutability on the supply side, as the vast majority of distributors offer farmers these different categories of products14. More specifically concerning the distribution of seeds, the existence of a particular segment consisting of seeds intended for organic farming has been considered.</w:t>
      </w:r>
    </w:p>
    <w:p>
      <w:r>
        <w:t>20. Regarding the distribution of agricultural supply products intended for vineyards, it has been considered to segment it as follows: i) vine training materials, ii) oenological materials, iii) packaging materials, iv) fertilizers, and v) plant protection products15.</w:t>
      </w:r>
    </w:p>
    <w:p>
      <w:r>
        <w:t>21. Finally, the Competition Authority has determined that there is no need to segment the market by distribution channel, as traders and cooperatives provide farmers with a similar offer16. Indeed, even if significant differences between these two types of actors (status, taxation, nature of contractual relationships with the farmer) may persist, these are not sufficient to justify the existence of two distinct product markets.</w:t>
      </w:r>
    </w:p>
    <w:p>
      <w:r>
        <w:t>22. In the present case, Vivescia is active in the markets for non-organic seeds, amendments, fertilizers, and plant protection products for mixed farming, and in the markets for agricultural supply products for vineyards.</w:t>
      </w:r>
    </w:p>
    <w:p>
      <w:r>
        <w:t>23. Regarding the geographic delineation of these markets, decision-making practice17 has retained a local dimension for the markets for the marketing of seeds, fertilizers, and plant protection products intended for farmers, with the analysis being conducted at a departmental level.</w:t>
      </w:r>
    </w:p>
    <w:p>
      <w:r>
        <w:t>III. THE COMPETITIVE ANALYSIS</w:t>
      </w:r>
    </w:p>
    <w:p>
      <w:r>
        <w:t>24. In the absence of any horizontal overlap between the activities of the companies concerned, the competitive analysis will focus solely on the vertical effects of the operation.</w:t>
      </w:r>
    </w:p>
    <w:p>
      <w:r>
        <w:t>25. The vertical effects of a concentration operation are studied when the operation brings together actors present at different levels of the value chain. In the present case, by taking control of Seveal-Union, active in the wholesale markets for agricultural supply products for crops, the Vivescia group, present in the markets for the manufacturing of fertilizers and in the retail distribution markets for agricultural supply products, strengthens its vertical integration in two ways:</w:t>
        <w:br/>
        <w:t>- on the one hand, the operation allows it to be present in the manufacturing, wholesale, and retail distribution markets for fertilizers;</w:t>
        <w:br/>
        <w:t>- on the other hand, the operation allows it to be present in both the wholesale and retail distribution markets for types of agricultural supply products.</w:t>
      </w:r>
    </w:p>
    <w:p>
      <w:r>
        <w:t>26. A vertical concentration can restrict competition by making access to the markets where the new entity will be active more difficult, or even potentially excluding competitors or penalizing them by increasing their costs. Two types of lock-in are clearly distinguished. In the first case, the integrated company refuses to sell an input to its downstream competitors or provides it to them at a high price, under unfavorable conditions, or at a degraded quality level (input market lock-in). In the second case, the downstream branch of the integrated company refuses to buy or distribute the products of upstream manufacturers, thereby reducing their commercial outlets (customer access lock-in). The decision-making practice of competition authorities generally dismisses these lock-in risks when the share of the company resulting from the operation in the relevant markets does not exceed 30%.</w:t>
      </w:r>
    </w:p>
    <w:p>
      <w:r>
        <w:t>A. THE POSITION OF ACTORS IN THE DIFFERENT RELEVANT MARKETS</w:t>
      </w:r>
    </w:p>
    <w:p>
      <w:r>
        <w:t>27. Regarding the fertilizer markets at the national level, Vivescia still holds a market share of less than [0-5]%, except for binary P-K fertilizers where it holds a market share of [10-20]%.</w:t>
      </w:r>
    </w:p>
    <w:p>
      <w:r>
        <w:t>28. Regarding the wholesale markets for agricultural supply products at the national level, the notifying party has estimated Seveal-Union's market share at [0-5]% for seeds, [5-10]% for fertilizers, and [5-10]% for plant protection products.</w:t>
      </w:r>
    </w:p>
    <w:p>
      <w:r>
        <w:t>29. Finally, regarding the markets for the distribution of agricultural supply products for crops to farmers at the local level, Vivescia is present in the northeast quarter of France, particularly throughout the Champagne-Ardenne region. Its market share in this latter region is estimated at around 50% (notably between 30 and 40% in Aube, between 40 and 50% in Haute Marne, and between 50 and 60% in Marne)18.</w:t>
      </w:r>
    </w:p>
    <w:p>
      <w:r>
        <w:t>B. THE ABSENCE OF COMPETITION HARM RISKS</w:t>
      </w:r>
    </w:p>
    <w:p>
      <w:r>
        <w:t>30. Regarding vertical integration in the fertilizer sector, the new entity will have no means of locking in the markets as its local competitors in the retail distribution of fertilizers will retain the ability to source directly from competing fertilizer manufacturers located in France or abroad, which represent 98% of the national market. Conversely, the competitors of the parties in the fertilizer manufacturing market will still be able to access the retail distribution markets, through the numerous competing distributors active not only in the relevant departments (Marne, Aube, Haute-Marne) but also in all other French departments.</w:t>
      </w:r>
    </w:p>
    <w:p>
      <w:r>
        <w:t>31. Regarding vertical integration in the wholesale and retail distribution market for all types of agricultural supply products, distributors and agricultural cooperatives selling agricultural supply products at retail can source either from wholesalers, such as Seveal Union, or directly from manufacturers. They are therefore in no way dependent on the activity of wholesalers. In these...</w:t>
      </w:r>
    </w:p>
    <w:p>
      <w:r>
        <w:rPr>
          <w:b/>
        </w:rPr>
        <w:t>[Pages 7–7]</w:t>
      </w:r>
    </w:p>
    <w:p>
      <w:r>
        <w:t>conditions the new entity will not have the means to lock out agricultural cooperatives and distributors from the input markets. Similarly, all manufacturers and wholesalers of agricultural supply products will retain the ability to access the downstream markets, as the new entity is only present in the northeast quarter of France.</w:t>
      </w:r>
    </w:p>
    <w:p>
      <w:r>
        <w:t>32. In light of the above, the operation is not likely to harm competition through vertical effects.</w:t>
      </w:r>
    </w:p>
    <w:p>
      <w:r>
        <w:t>DECIDES</w:t>
      </w:r>
    </w:p>
    <w:p>
      <w:r>
        <w:t>Sole Article: The operation notified under number 12-061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