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https://www.autoritedelaconcurrence.fr/fr/decision-de-controle-des-concentrations/relative-la-prise-de-controle-exclusif-de-sfr-par-le-0</w:t>
      </w:r>
    </w:p>
    <w:p>
      <w:r>
        <w:t>Pages translated : 4</w:t>
      </w:r>
    </w:p>
    <w:p/>
    <w:p>
      <w:r>
        <w:rPr>
          <w:b/>
        </w:rPr>
        <w:t>[Pages 1–3]</w:t>
      </w:r>
    </w:p>
    <w:p>
      <w:r>
        <w:t xml:space="preserve">FRENCH REPUBLIC  </w:t>
        <w:br/>
        <w:t xml:space="preserve">Decision No. 14-DEX-01 of July 30, 2014  </w:t>
        <w:br/>
        <w:t xml:space="preserve">regarding the exclusive control of SFR by the Altice group  </w:t>
        <w:br/>
        <w:t xml:space="preserve">The Competition Authority,  </w:t>
        <w:br/>
        <w:t xml:space="preserve">Having regard to the notification file sent to the merger service on June 4, 2014, and declared complete on June 24, 2014, concerning the exclusive control of the Société Française du Radiotéléphone by Numericable Group, a subsidiary of Altice SA, formalized by a letter of offer submitted by Numericable Group to Vivendi on April 4, 2014, and accepted by the latter on April 5, 2014, as well as an acquisition protocol dated June 20, 2014;  </w:t>
        <w:br/>
        <w:t xml:space="preserve">Having regard to Book IV of the Commercial Code relating to price and competition freedom, and in particular its Articles L. 430-1 to L. 430-7;  </w:t>
        <w:br/>
        <w:t xml:space="preserve">Having regard to the supplementary elements transmitted by the parties during the investigation;  </w:t>
        <w:br/>
        <w:t xml:space="preserve">Having regard to the other documents in the file;  </w:t>
        <w:br/>
        <w:t xml:space="preserve">Adopts the following decision:  </w:t>
        <w:br/>
        <w:t xml:space="preserve">1. Altice SA is a holding company at the head of several subsidiaries active in the electronic communications sector (hereinafter, the "Altice group"). It consists of the Altice France group, which holds exclusive control of Numericable Group, and the Altice International group. Numericable Group is a cable operator present in mainland France in the markets for internet access and pay television through Numericable and in the electronic communications markets for businesses through Completel. The Altice International group notably controls the companies Outremer Telecom and Mobius, active in the internet access and mobile telephony markets in Réunion and Mayotte. The Altice group is ultimately controlled by Mr. Patrick Drahi.  </w:t>
        <w:br/>
        <w:t xml:space="preserve">2. The Société Française du Radiotéléphone (hereinafter, "SFR"), a public limited company under French law, is primarily active in the mobile telephony sector, high and very high-speed internet, fixed telephony, pay television, and services dedicated to businesses. It is present in mainland France as well as in Réunion through its subsidiary SRR and in Mayotte through its subsidiary SMR. SFR also exercises joint control with La Poste over the MVNO La Poste Mobile.  </w:t>
        <w:br/>
        <w:t xml:space="preserve">3. SFR is exclusively controlled by the Vivendi group, which holds 100% of its capital. The Vivendi group is primarily present in the television sectors, notably through the Canal+ group, cinema, music (with Universal Music), and mobile and fixed telecommunications, notably in Morocco with the Maroc Telecom group and in Brazil with GVT.  </w:t>
        <w:br/>
        <w:t xml:space="preserve">4. The operation, formalized by a letter of offer submitted by Numericable Group to Vivendi on April 4, 2014, and accepted by the latter on April 5, 2014, as well as an acquisition protocol dated June 20, 2014, involves the acquisition by Numericable from Vivendi of 99.9% of the capital and voting rights of SFR, as well as the issuance to Vivendi of shares representing 20% of the capital of Numericable. Vivendi's participation does not grant it any rights that would allow it to exercise a decisive influence over Numericable. Upon completion of the transaction, SFR will therefore be controlled by Numericable, which will itself be exclusively controlled by the Altice group.  </w:t>
        <w:br/>
        <w:t xml:space="preserve">5. Insofar as it results in the exclusive control of SFR by the Altice group, the notified operation constitutes a concentration within the meaning of Article L. 430-1 of the Commercial Code.  </w:t>
        <w:br/>
        <w:t xml:space="preserve">6. The companies concerned together generate a total worldwide turnover of more than 150 million euros (Altice group: 2.8 billion euros for the fiscal year ending December 31, 2013; SFR: 10.2 billion euros for the same fiscal year). Each of these companies has generated, in France, a turnover exceeding 50 million euros (Altice group: 1.5 billion euros for the fiscal year ending December 31, 2013; SFR: 10.2 billion euros for the same fiscal year). The notification thresholds of Article 1 paragraph 2 of Regulation (EC) 139/2004 are exceeded, but each of the companies concerned generates more than two-thirds of its turnover in the Union in France. The operation therefore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7. The examination provided for in I of Article L. 430-5 of the Commercial Code, which has been conducted, leaves serious doubts regarding harm to competition in the wholesale and retail electronic communications and mobile telephony markets in mainland France (i), as well as in the fixed communications markets for businesses (ii) and in the distribution of internet access and pay television (iii). The operation also raises such doubts in the mobile telephony and electronic communications markets in Réunion and Mayotte (iv). The investigation finally leaves serious doubts regarding harm to competition in the distribution of mobile telephony services and internet access in Réunion and Mayotte, as well as in several local areas in mainland France (v).  </w:t>
        <w:br/>
        <w:t xml:space="preserve">8. First, the operation consists of the merger of two major operators in the wholesale and retail electronic communications markets. In particular, Numericable is the leading French cable operator and thus has the most extensive ultra-high-speed network in terms of geographical coverage. SFR, for its part, operates a high-speed network based on a pool of unbundled lines on the historical operator's copper infrastructure and on a very high-speed network from locally deployed optical loops, co-financed with third parties who ensured their deployment or to which SFR has access through leasing. Thus, upon completion of the operation, the new entity will have the most extensive ultra-high-speed infrastructure in French territory. Furthermore, the concentration will strengthen Numericable's vertical integration, which, at its conclusion, could be more incentivized to favor its own downstream activities, notably by migrating SFR's ADSL subscribers to the cable network, rather than granting third parties wholesale access to it.  </w:t>
        <w:br/>
        <w:t xml:space="preserve">9. Moreover, the operation raises conglomerate concerns insofar as it will allow the new entity to combine the fixed electronic communications activities of the parties with SFR's mobile telephony activities. The new entity will therefore have significant competitive advantages in the construction and marketing of offers combining mobile telecommunications services and fixed communications in the ultra-high-speed segment, which are difficult for third-party operators to replicate given the current state of their fiber optic network deployment.  </w:t>
        <w:br/>
        <w:t xml:space="preserve">10. These effects are likely to be even more significant as the operation, by reducing SFR's incentive to invest in the deployment of its fiber optic network in the cable footprint area, will make it more difficult for competitors to deploy fiber optic given the rules of infrastructure sharing and the agreements on shared efforts made by the various investors.  </w:t>
        <w:br/>
        <w:t xml:space="preserve">11. Secondly, the operation will lead to a significant reduction in competition in the markets for fixed communications services for businesses. In the copper and fiber optic local loops, the operation will combine entities representing a significant number of accesses and will reduce, in several areas, the number of providers from four to three, or even from three to two. Furthermore, the examination of the behavior of the parties during the calls for tenders demonstrates the existence of significant competitive interaction between them prior to the operation, the disappearance of which risks harming the dynamism of competition in the affected markets.  </w:t>
        <w:br/>
        <w:t xml:space="preserve">12. Thirdly, in the pay television markets, the existence of a structural link between Vivendi and the new entity following the operation justifies a thorough examination. Indeed, Vivendi and Numericable will engage in directly competing activities both in the markets for the publishing and marketing of channels and in the markets for the distribution of pay television services. Holding a stake in the capital of the new entity will thus allow Vivendi to access strategic information regarding Numericable's competitive positioning. The market test also indicates that Vivendi could be incentivized to establish contractual relationships favoring the new entity to the detriment of competing pay television service distributors.  </w:t>
        <w:br/>
        <w:t xml:space="preserve">13. Fourthly, the operation will lead to a very significant consolidation of the mobile telephony market in Réunion and Mayotte, with the new entity holding approximately [60-70]% and [90-100]% of the retail market, as well as the majority of physical points of sale in the distribution market. Furthermore, the disappearance of competition between the parties in the electronic communications markets in Réunion and Mayotte is likely to harm competition there, particularly given the possibility for the new entity to leverage its strong positions in the mobile telephony markets to market offers bundling or coupling fixed and mobile telecommunications services that competitors will not be able to replicate.  </w:t>
        <w:br/>
        <w:t xml:space="preserve">14. Fifthly, finally, in the markets for the distribution of mobile telephony services and internet access, the operation raises serious doubts regarding harm to competition, particularly in Réunion and Mayotte, where the new entity will group the vast majority of physical points of sale, significantly strengthening its territorial coverage without any competitor operating an equivalent network of points of sale. The operation will also allow the new entity to significantly strengthen its presence in several local areas in mainland France.  </w:t>
        <w:br/>
        <w:t>15. It is therefore necessary to initiate a thorough examination, pursuant to III of Article L. 430-5 of the Commercial Code.</w:t>
      </w:r>
    </w:p>
    <w:p>
      <w:r>
        <w:rPr>
          <w:b/>
        </w:rPr>
        <w:t>[Pages 4–4]</w:t>
      </w:r>
    </w:p>
    <w:p>
      <w:r>
        <w:t xml:space="preserve">DECIDES  </w:t>
        <w:br/>
        <w:t xml:space="preserve">Sole Article: The operation notified under number 14-059 is subject to an in-depth examination under the conditions provided for in Article L. 430-6 of the Commercial Code.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