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https://www.autoritedelaconcurrence.fr/fr/decision-de-controle-des-concentrations/relative-la-prise-de-controle-exclusif-de-sienna-gestion-et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26-DCC-21 of January 26, 2026</w:t>
        <w:br/>
        <w:t>regarding the exclusive control acquisition of Sienna Gestion and Sienna 2A</w:t>
        <w:br/>
        <w:t>by the Malakoff Humanis group</w:t>
        <w:br/>
        <w:t>The Competition Authority,</w:t>
        <w:br/>
        <w:t>Having regard to the complete notification file submitted to the mergers department on January 8, 2026,</w:t>
        <w:br/>
        <w:t>concerning the exclusive control acquisition of Sienna Gestion and Sienna 2A by the</w:t>
        <w:br/>
        <w:t>Malakoff Humanis group formalized by a transfer contract signed on December 19, 2025;</w:t>
        <w:br/>
        <w:t>Having regard to Book IV of the Commercial Code relating to the freedom of prices and competition, and</w:t>
        <w:br/>
        <w:t>notably its Articles L. 430-1 to L. 430-7;</w:t>
        <w:br/>
        <w:t>Having regard to the other documents in the file;</w:t>
        <w:br/>
        <w:t>Adopts the following decision:</w:t>
        <w:br/>
        <w:t>1. The notified operation consists of the acquisition by the Malakoff Humanis group, via Totem</w:t>
        <w:br/>
        <w:t>Malakoff Humanis, a 100% subsidiary of Holding Malakoff Humanis, (i) of 65.99% of the capital and</w:t>
        <w:br/>
        <w:t>voting rights of Sienna Gestion and (ii) indirectly, via Sienna Gestion, of the interests</w:t>
        <w:br/>
        <w:t>currently held by Sienna IM in Sienna 2A and SPC Partners, the completion of</w:t>
        <w:br/>
        <w:t>the operation is conditioned upon the prior acquisition by Sienna Gestion of said</w:t>
        <w:br/>
        <w:t>interests. Malakoff Humanis, which currently holds 33.36% of the capital and voting rights</w:t>
        <w:br/>
        <w:t>of Sienna Gestion, will thus, at the end of the operation, increase its participation to 99.35%, which will</w:t>
        <w:br/>
        <w:t>grant it exclusive direct control of Sienna Gestion (and indirectly exclusive indirect control of Sienna 2A). The sector primarily concerned by the operation is that of</w:t>
        <w:br/>
        <w:t>asset management. Given the revenues generated by the companies involved,</w:t>
        <w:br/>
        <w:t>the operation does not fall under the jurisdiction of the European Union. On the other hand, the thresholds of</w:t>
        <w:br/>
        <w:t>control mentioned in I of Article L. 430-2 of the Commercial Code are exceeded. The present</w:t>
        <w:br/>
        <w:t>operation is therefore subject to the provisions of Articles L. 430-3 and following of the Commercial Code</w:t>
        <w:br/>
        <w:t>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26-006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