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https://www.autoritedelaconcurrence.fr/fr/decision-de-controle-des-concentrations/relative-la-prise-de-controle-exclusif-de-siic-de-paris-par</w:t>
      </w:r>
    </w:p>
    <w:p>
      <w:r>
        <w:t>Pages translated : 4</w:t>
      </w:r>
    </w:p>
    <w:p/>
    <w:p>
      <w:r>
        <w:rPr>
          <w:b/>
        </w:rPr>
        <w:t>[Pages 1–3]</w:t>
      </w:r>
    </w:p>
    <w:p>
      <w:r>
        <w:t xml:space="preserve">FRENCH REPUBLIC  </w:t>
        <w:br/>
        <w:t xml:space="preserve">Decision No. 14-DCC-103 of July 10, 2014  </w:t>
        <w:br/>
        <w:t>regarding the exclusive control of SIIC de Paris by Eurosic</w:t>
      </w:r>
    </w:p>
    <w:p>
      <w:r>
        <w:t xml:space="preserve">The Competition Authority,  </w:t>
        <w:br/>
        <w:t xml:space="preserve">Having regard to the notification file submitted in full to the merger service on June 12, 2014, regarding the exclusive control of SIIC de Paris by Eurosic, formalized by two share transfer agreements dated June 5, 2014;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Eurosic is a real estate investment company listed on the Eurolist market of Euronext Paris. It holds and manages a portfolio of real estate assets primarily consisting of offices located in Paris, the Paris region, and major regional metropolitan areas. Eurosic also holds assets in the leisure, logistics, and housing sectors.  </w:t>
        <w:br/>
        <w:t xml:space="preserve">2. SIIC de Paris is a property company, also listed on the Eurolist market of Euronext Paris, specializing in the holding and management of office real estate assets, located almost exclusively in Île-de-France. Its main shareholder since 2006 is the Spanish group Realia (58.95% of the capital). It also marginally manages real estate assets for commercial and residential use in the Bouches du Rhône.  </w:t>
        <w:br/>
        <w:t>3. The notified operation, formalized by two share transfer agreements dated June 5, 2014, consists of the acquisition by Eurosic of the stakes of Realia Patrimonio (58.95%) and the Société Foncière Lyonnaise (29.63%) in the capital of SIIC de Paris. The operation will be followed by a mandatory public offer, followed, in the event that Eurosic comes to hold at least 95% of the capital and voting rights of SIIC de Paris, by a mandatory withdrawal. At the end of the operation, Eurosic will thus hold between 88.58% and 100% of the capital and voting rights of SIIC de Paris. As it results in the control of SIIC de Paris by Eurosic, the notified operation constitutes a concentration within the meaning of Article L. 430-1 of the Commercial Code.</w:t>
      </w:r>
    </w:p>
    <w:p>
      <w:r>
        <w:t>4. The companies concerned together achieve a total worldwide turnover excluding tax of more than 150 million euros (Eurosic: 104.9 million euros for the fiscal year ending on December 31, 2013; SIIC de Paris: [...] million euros for the fiscal year ending on December 31, 2013). Two of these achieve a turnover in France exceeding 50 million euros (their entire turnover is achieved in France). Therefore, the control thresholds of Article L. 430-3 of the Commercial Code are exceeded. Given these turnovers, the operation does not fall under the jurisdiction of the European Union. The concentration is thus subject to the provisions of Articles L. 430-3 and following of the Commercial Code relating to economic concentration.</w:t>
      </w:r>
    </w:p>
    <w:p>
      <w:r>
        <w:t xml:space="preserve">II. Delimitation of the relevant markets  </w:t>
        <w:br/>
        <w:t xml:space="preserve">A. THE MARKETS FOR PRODUCTS AND SERVICES  </w:t>
        <w:br/>
        <w:t xml:space="preserve">5. The national and European competition authorities have considered, while leaving the question open, different segmentations in the real estate services sector according to (i) the recipients of the services, the properties being intended either for individuals, with the concerned buildings being for residential use, or for businesses, with the concerned buildings being for commercial or professional use, (ii) the pricing method, between free residential real estate and social or intermediate housing, the latter being part of a specific regulatory framework in which the State plays an important role, both in terms of financial aid and allocation of housing, (iii) the type of activity carried out in the premises (offices, commercial premises, and other activity premises such as warehouses or hotels), and (iv) the nature of the services or goods offered.  </w:t>
        <w:br/>
        <w:t xml:space="preserve">6. For this last segmentation, the following services have been identified:  </w:t>
        <w:br/>
        <w:t xml:space="preserve">(i) real estate promotion, which includes construction and sale activities of real estate;  </w:t>
        <w:br/>
        <w:t xml:space="preserve">(ii) management of real estate assets for one's own account;  </w:t>
        <w:br/>
        <w:t xml:space="preserve">(iii) management of real estate assets for third parties (institutional investors, mainly banks and insurance companies) which covers consulting and management of real estate portfolios (arbitration and valuation of assets), structuring of real estate investment operations, and management of real estate assets and specialized investment vehicles (notably civil real estate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(vii) intermediation in real estate transactions, where intermediation in purchase/sale operations is distinguished from intermediation in rental operations.</w:t>
      </w:r>
    </w:p>
    <w:p>
      <w:r>
        <w:t xml:space="preserve">7. In the present case, the parties to the transaction are simultaneously active in the markets for the management of residential real estate assets on their own account (excluding residential assets for social use) and intended for businesses, including office and commercial buildings.  </w:t>
        <w:br/>
        <w:t>8. The decision-making practice, while leaving the question open, has considered a segmentation between shopping centers and ground-floor commercial premises. In this case, the activities of the parties overlap exclusively on the ground-floor commercial premises.</w:t>
      </w:r>
    </w:p>
    <w:p>
      <w:r>
        <w:t xml:space="preserve">B. THE GEOGRAPHICAL MARKETS  </w:t>
        <w:br/>
        <w:t xml:space="preserve">9. The decision-making practice considers that the markets related to the real estate sector are of a local dimension, while leaving the question open. However, the analysis has already been conducted at the national level for real estate services intended for businesses when the operations were carried out by groups of national scope following a strategy of territorial coverage.  </w:t>
        <w:br/>
        <w:t xml:space="preserve">10.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the competition authorities have conducted their competitive analyses at the regional or sub-regional level.  </w:t>
        <w:br/>
        <w:t>11. In this case, the activities of the parties in the real estate services sector only overlap in Île-de-France, and more specifically in Paris (75) and in Hauts-de-Seine (92).</w:t>
      </w:r>
    </w:p>
    <w:p>
      <w:r>
        <w:rPr>
          <w:b/>
        </w:rPr>
        <w:t>[Pages 4–4]</w:t>
      </w:r>
    </w:p>
    <w:p>
      <w:r>
        <w:t xml:space="preserve">III. Competitive Analysis  </w:t>
        <w:br/>
        <w:t xml:space="preserve">12. The notifying party believes that following the operation, the new entity will not represent more than [0-5]% of the various markets for the products and services concerned, regardless of the geographical dimension considered (regional or departmental level).  </w:t>
        <w:br/>
        <w:t xml:space="preserve">13. The Competition Authority has also previously noted that the market for the management and ownership for one's own account of office real estate assets in Île-de-France is characterized by a high level of fragmentation. Many operators are active in this market, including real estate companies, insurance companies, investment funds, and banks.  </w:t>
        <w:br/>
        <w:t xml:space="preserve">14. The operation is therefore not likely to present a competitive risk through horizontal effects on the various markets for the management for one's own account of real estate assets.  </w:t>
        <w:br/>
        <w:t xml:space="preserve">DECIDES  </w:t>
        <w:br/>
        <w:t xml:space="preserve">Sole Article: The operation notified under number 14-094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