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https://www.autoritedelaconcurrence.fr/fr/decision-de-controle-des-concentrations/relative-la-prise-de-controle-exclusif-de-six-fonds-de-0</w:t>
      </w:r>
    </w:p>
    <w:p>
      <w:r>
        <w:t>Pages translated : 2</w:t>
      </w:r>
    </w:p>
    <w:p/>
    <w:p>
      <w:r>
        <w:rPr>
          <w:b/>
        </w:rPr>
        <w:t>[Pages 1–2]</w:t>
      </w:r>
    </w:p>
    <w:p>
      <w:r>
        <w:t xml:space="preserve">FRENCH REPUBLIC  </w:t>
        <w:br/>
        <w:t xml:space="preserve">Decision No. 22-DCC-133 of July 27, 2022  </w:t>
        <w:br/>
        <w:t xml:space="preserve">regarding the exclusive control acquisition of six car dealership businesses by the Mary group  </w:t>
        <w:br/>
        <w:t xml:space="preserve">The Competition Authority,  </w:t>
        <w:br/>
        <w:t xml:space="preserve">Having regard to the notification file sent to the mergers department on June 29, 2022, declared complete on July 8, 2022, concerning the exclusive control acquisition of six car dealership businesses by the Mary group, formalized by a letter of intent dated April 15,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of exclusive control of six car dealership businesses located in Barentin (76), Le Havre (76), and Rouen (76) by the Mary group, which is also active in the automotive distribution sector. The operation constitutes a concentration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22-155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