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https://www.autoritedelaconcurrence.fr/fr/decision-de-controle-des-concentrations/relative-la-prise-de-controle-exclusif-de-six-fonds-de-1</w:t>
      </w:r>
    </w:p>
    <w:p>
      <w:r>
        <w:t>Pages translated : 2</w:t>
      </w:r>
    </w:p>
    <w:p/>
    <w:p>
      <w:r>
        <w:rPr>
          <w:b/>
        </w:rPr>
        <w:t>[Pages 1–2]</w:t>
      </w:r>
    </w:p>
    <w:p>
      <w:r>
        <w:t xml:space="preserve">FRENCH REPUBLIC  </w:t>
        <w:br/>
        <w:t xml:space="preserve">Decision No. 25-DCC-181 of August 6, 2025  </w:t>
        <w:br/>
        <w:t xml:space="preserve">regarding the exclusive control acquisition of six business assets of the  </w:t>
        <w:br/>
        <w:t xml:space="preserve">Fabre group by the company Holding Bony  </w:t>
        <w:br/>
        <w:t xml:space="preserve">The Competition Authority,  </w:t>
        <w:br/>
        <w:t xml:space="preserve">Having regard to the complete notification file submitted to the mergers department on July 17, 2025,  </w:t>
        <w:br/>
        <w:t xml:space="preserve">concerning the exclusive control acquisition of six business assets belonging to the Fabre group by  </w:t>
        <w:br/>
        <w:t xml:space="preserve">the company Holding Bony, formalized by a letter of intent signed on May 7,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through the company Bony Sud Ouest  </w:t>
        <w:br/>
        <w:t xml:space="preserve">BSO, controlled by the company Bony Sales Manager RP, itself 100% owned by the company  </w:t>
        <w:br/>
        <w:t xml:space="preserve">Holding Bony, of six business assets of the Fabre group, which are active in the automotive distribution sector in the cities of Albi (81), Aurillac (15), Blaye-les-Mines (81), Figeac (46), Gaillac (81), Lavaur (81), Millau (12), Onet-le-Château (12) and Villefranche de Rouergue (12).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25-181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