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https://www.autoritedelaconcurrence.fr/fr/decision-de-controle-des-concentrations/relative-la-prise-de-controle-exclusif-de-six-fonds-de</w:t>
      </w:r>
    </w:p>
    <w:p>
      <w:r>
        <w:t>Pages translated : 2</w:t>
      </w:r>
    </w:p>
    <w:p/>
    <w:p>
      <w:r>
        <w:rPr>
          <w:b/>
        </w:rPr>
        <w:t>[Pages 1–2]</w:t>
      </w:r>
    </w:p>
    <w:p>
      <w:r>
        <w:t xml:space="preserve">FRENCH REPUBLIC  </w:t>
        <w:br/>
        <w:t xml:space="preserve">Decision No. 19-DCC-175 of September 13, 2019  </w:t>
        <w:br/>
        <w:t xml:space="preserve">regarding the exclusive control acquisition of six automotive business assets by the company Faurie Participations  </w:t>
        <w:br/>
        <w:t xml:space="preserve">The Competition Authority,  </w:t>
        <w:br/>
        <w:t xml:space="preserve">Having regard to the notification file sent to the mergers department on August 12, 2019, and declared complete on August 26, 2019, concerning the exclusive control acquisition of six automotive trading and repair business assets by the company Faurie Participations, formalized by a transfer protocol dated July 4, 2019;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Faurie Participations of three automotive trading and repair business assets located in the departments of Landes (40) and Lot-et-Garonne (47) and operated under the Audi brand by the company Alma Participations, and of three automotive trading and repair business assets located in the department of Landes (40) and operated under the Volkswagen and Seat brands by the company Établissements Ducasse et Compagnie.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19-217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