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https://www.autoritedelaconcurrence.fr/fr/decision-de-controle-des-concentrations/relative-la-prise-de-controle-exclusif-de-six-points-de</w:t>
      </w:r>
    </w:p>
    <w:p>
      <w:r>
        <w:t>Pages translated : 8</w:t>
      </w:r>
    </w:p>
    <w:p/>
    <w:p>
      <w:r>
        <w:rPr>
          <w:b/>
        </w:rPr>
        <w:t>[Pages 1–3]</w:t>
      </w:r>
    </w:p>
    <w:p>
      <w:r>
        <w:t xml:space="preserve">FRENCH REPUBLIC  </w:t>
        <w:br/>
        <w:t xml:space="preserve">Decision No. 15-DCC-28 of March 17, 2015  </w:t>
        <w:br/>
        <w:t>regarding the exclusive control of six retail outlets under the Fly and Atlas brands by But International</w:t>
      </w:r>
    </w:p>
    <w:p>
      <w:r>
        <w:t xml:space="preserve">The Competition Authority,  </w:t>
        <w:br/>
        <w:t xml:space="preserve">Having regard to the notification file sent to the merger service on October 21, 2014, and declared complete on February 11, 2015, concerning the exclusive control by But International of six retail outlets under the Fly and Atlas brands, formalized by a takeover offer dated October 7, 2014, modified on October 24, 2014, and by a judgment of the Tribunal de grande instance of Mulhouse dated November 21, 2014;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But International (hereinafter "But") is a simplified joint-stock company, controlled by the venture capital funds Goldman Sachs and Colony Capital. But is active in the retail trade of furniture, decoration, and household appliances through a network of 291 stores under its brand (284 in mainland France and 7 in overseas departments and territories), including 178 stores owned and 106 franchise stores. Colony Capital and Goldman Sachs do not hold any controlling interest in companies operating in the markets concerned by the operation or in upstream or related markets.  </w:t>
        <w:br/>
        <w:t xml:space="preserve">2. The six retail outlets that are the subject of the operation (hereinafter, "the target") are owned by the operating company SER, a 100% subsidiary of the company Mobilier Européen, which is itself 100% owned by the company Meubles Rapp (hereinafter with its subsidiaries the "Rapp group"), which is controlled by the Rapp family. The Rapp group is a family group active in the home equipment sector and prior to the takeover offer operated 213 retail outlets in France and abroad, 119 under the Fly brand (including 57 franchisees), 47 under the Atlas brand (including 20 franchisees), and 47 under the Crozatier brand (including 33 franchisees). The six retail outlets involved in the operation are currently operated under the Fly brand (four retail outlets) and Atlas (two retail outlets).  </w:t>
        <w:br/>
        <w:t xml:space="preserve">3. Following a takeover offer dated October 7, 2014, modified on October 24, 2014, and a judgment from the Tribunal de grande instance of Mulhouse dated November 21, 2014, the notified operation consists of the acquisition of the six target business assets by But. As it results in the exclusive control of six retail outlets under the Atlas and Fly brands by But, the notified operation constitutes a concentration operation within the meaning of Article L. 430-1 of the Commercial Code.  </w:t>
        <w:br/>
        <w:t>4. The companies concerned together achieve a total turnover excluding tax on a global scale of more than 75 million euros (management companies of Goldman Sachs and Colony Capital: […] euros for the fiscal year ending December 31, 2013; the target: […] euros for the fiscal year ending December 31, 2013). Each of these companies has achieved a turnover in France exceeding 15 million euros (management companies of Goldman Sachs and Colony Capital: […] euros for the fiscal year ending December 31, 2013; the target: […] euros for the fiscal year ending December 31, 2013).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5. In the retail sector, competition authorities generally recognize two categories of markets: (i) downstream markets, of a local dimension, which bring together retail companies and final consumers, and (ii) upstream supply markets for retail companies.  </w:t>
        <w:br/>
        <w:t xml:space="preserve">6. As recalled by the Competition Authority, "the type of products sold is one of the most important criteria for delineating markets in the retail sector." Furthermore, "the format and size of the store are also important criteria for market delineation as they determine, in particular, the ability of the retail outlet in question to market a greater or lesser number of products or to offer certain ancillary services. Specialized large surfaces (GSS) are thus distinguished from large food surfaces (GSA) and proximity commerce."  </w:t>
        <w:br/>
        <w:t>7. In this case, the parties are simultaneously active in the retail trade of furniture products, decoration and bazaar products, and household appliances. The competitive analysis must therefore focus on these activities, distinguishing, if necessary, according to the types of stores involved.</w:t>
      </w:r>
    </w:p>
    <w:p>
      <w:r>
        <w:t xml:space="preserve">1. UPSTREAM MARKETS FOR THE SUPPLY OF FURNITURE PRODUCTS, BAZAAR AND DECORATION PRODUCTS, AND HOUSEHOLD APPLIANCES  </w:t>
        <w:br/>
        <w:t xml:space="preserve">8. Regarding the upstream supply markets, the decisional practice has noted that "producers manufacture specific products or groups of products and are not technically able to easily switch to manufacturing other products without significant costs" and "at the supply level, it can be considered that there are as many markets as there are product families on which the negotiation focuses, each distributor putting in competition the various suppliers in each of the markets." Thus, a distribution by product group can be considered relevant.  </w:t>
        <w:br/>
        <w:t xml:space="preserve">9. Specifically regarding the supply of household appliances, furniture, and bazaar and decoration products, the decisional practice, taking into account the organization of the "purchasing" divisions of distributors, has identified the following markets: (i) furniture, (ii) bazaar-decoration, (iii) small household appliances, (iv) large household appliances, (v) cameras/film, (vi) hi-fi/sound devices, (vii) TV/video devices, and (viii) computers/peripherals.  </w:t>
        <w:br/>
        <w:t xml:space="preserve">10. There is no need to challenge this delimitation in the context of the present operation.  </w:t>
        <w:br/>
        <w:t>11. In this case, the parties to the operation are both active, as buyers, in the markets for the supply of furniture, bazaar and decoration products, and household appliances.</w:t>
      </w:r>
    </w:p>
    <w:p>
      <w:r>
        <w:t xml:space="preserve">2. DOWNSTREAM MARKET FOR THE RETAIL DISTRIBUTION OF FURNITURE PRODUCTS  </w:t>
        <w:br/>
        <w:t xml:space="preserve">12. Furniture and decoration products encompass all products intended to furnish the rooms of a dwelling (chairs, sofas, tables, kitchen units, bathroom units, bedding, buffets, storage, desks, etc.).  </w:t>
        <w:br/>
        <w:t>13. Regarding the retail sale of furniture products, competition authorities have considered a market for the distribution of furniture products segmented by distribution channel. The stores involved in the present operation belong to the category of GSS and operate in "the distribution of furniture through retail outlets offering the final consumer a wide assortment of products, excluding decorative items, throughout the year."</w:t>
      </w:r>
    </w:p>
    <w:p>
      <w:r>
        <w:rPr>
          <w:b/>
        </w:rPr>
        <w:t>[Pages 4–6]</w:t>
      </w:r>
    </w:p>
    <w:p>
      <w:r>
        <w:t>14. The French competition authorities have also considered a segmentation in terms of product range given the differences in price and service offered. In this case, the target is active in the marketing of "low-end" and "mid-range" furniture, as opposed to "high-end" stores, notably represented by brands such as Roche Bobois, Ligne Roset, or Cinna. According to the notifying party, market segmentation based on the level of range does not appear entirely relevant insofar as the players present in the low and mid-range would develop products "stylistically similar" to high-end products. However, the notifying party does not present any evidence likely to challenge the findings in terms of services and prices retained by the decisional practice to consider segmentation according to the product range.</w:t>
      </w:r>
    </w:p>
    <w:p>
      <w:r>
        <w:t>15. In this case, the exact definition of the downstream markets can be left open insofar as the conclusions of the competitive analysis will remain unchanged, regardless of the hypotheses retained.</w:t>
      </w:r>
    </w:p>
    <w:p>
      <w:r>
        <w:t>3. DOWNSTREAM MARKET FOR THE RETAIL DISTRIBUTION OF BAZAAR AND DECORATION PRODUCTS</w:t>
      </w:r>
    </w:p>
    <w:p>
      <w:r>
        <w:t>16. The competition authorities have distinguished the distribution of bazaar and decoration products, defined as various objects associated with the distribution of "furnishing" furniture to equip and decorate the home, from that of furniture, due to differences in the assortment of suppliers, purchasing behaviors, as well as the functions of the products concerned, with bazaar-decoration products being complementary to furniture. For these products, the competitive analysis will focus on sales in large retail stores.</w:t>
      </w:r>
    </w:p>
    <w:p>
      <w:r>
        <w:t>17. In any case, the exact delimitation of the downstream market for bazaar and decoration products can be left open, insofar as the conclusions of the competitive analysis will remain unchanged, regardless of the hypotheses retained.</w:t>
      </w:r>
    </w:p>
    <w:p>
      <w:r>
        <w:t>4. DOWNSTREAM MARKETS FOR THE RETAIL DISTRIBUTION OF HOUSEHOLD APPLIANCES</w:t>
      </w:r>
    </w:p>
    <w:p>
      <w:r>
        <w:t>18. Regarding the retail sale of household appliances, the competition authorities usually distinguish three categories of products: "white," "brown," and "grey."</w:t>
      </w:r>
    </w:p>
    <w:p>
      <w:r>
        <w:t>19. The category of "white" products includes in particular cooktops, stoves, ovens, built-in sets, hoods, washing machines, dryers, dishwashers, refrigerators, freezers, small kitchen appliances, and air conditioning products. Regarding the distribution of white products, the decisional practice has left open the question of a possible sub-segmentation between small and large appliances. It is not necessary to resolve this question in this case.</w:t>
      </w:r>
    </w:p>
    <w:p>
      <w:r>
        <w:t>20. The target has only a marginal activity in the distribution of household appliances, exclusively of "white" products and almost exclusively of large appliances, as the products it offers are generally built-in and complementary to its kitchen design activity. The operation therefore only results in overlap for this category of products.</w:t>
      </w:r>
    </w:p>
    <w:p>
      <w:r>
        <w:t>B. GEOGRAPHICAL DELIMITATION OF MARKETS</w:t>
      </w:r>
    </w:p>
    <w:p>
      <w:r>
        <w:t>1. UPSTREAM MARKETS FOR THE SUPPLY OF HOUSEHOLD APPLIANCES, FURNITURE PRODUCTS, AND BAZAAR AND DECORATION PRODUCTS</w:t>
      </w:r>
    </w:p>
    <w:p>
      <w:r>
        <w:t>21. Regarding the supply markets, the decisional practice of the competition authorities has retained at least a national dimension, if not a European one.</w:t>
      </w:r>
    </w:p>
    <w:p>
      <w:r>
        <w:t>22. There is no need to challenge this delimitation in the context of the present operation.</w:t>
      </w:r>
    </w:p>
    <w:p>
      <w:r>
        <w:t>2. DOWNSTREAM MARKETS FOR THE RETAIL DISTRIBUTION OF FURNITURE PRODUCTS, BAZAAR AND DECORATION PRODUCTS, AND HOUSEHOLD APPLIANCES</w:t>
      </w:r>
    </w:p>
    <w:p>
      <w:r>
        <w:t>23. Regarding the downstream markets for the retail distribution of furniture products, bazaar and decoration products, and household appliances, the competition authorities consider that they are of a local dimension. It has been considered that, for this type of purchase, consumers are willing to travel for a duration of 20 to 45 minutes to reach a store. However, this duration varies depending on the characteristics of each area, such as geography, population density, or the state of the supply itself.</w:t>
      </w:r>
    </w:p>
    <w:p>
      <w:r>
        <w:t>24. The analysis of the operation will therefore be conducted on catchment areas corresponding to a duration of 20 minutes for the inner suburbs and 30 minutes for the outer suburbs around the concerned Fly or Atlas stores.</w:t>
      </w:r>
    </w:p>
    <w:p>
      <w:r>
        <w:t>III. Competitive Analysis</w:t>
      </w:r>
    </w:p>
    <w:p>
      <w:r>
        <w:t>25. The competitive analysis is based, at the national level, on an estimate of market shares in value. At the local level, however, in accordance with the decisional practice and given the difficulty of reliably estimating the turnover generated by competing stores in an area, market shares are evaluated in terms of sales area.</w:t>
      </w:r>
    </w:p>
    <w:p>
      <w:r>
        <w:t>A. ANALYSIS OF HORIZONTAL EFFECTS</w:t>
      </w:r>
    </w:p>
    <w:p>
      <w:r>
        <w:t>1. UPSTREAM MARKETS FOR THE SUPPLY OF FURNITURE PRODUCTS, BAZAAR AND DECORATION PRODUCTS, AND HOUSEHOLD APPLIANCES</w:t>
      </w:r>
    </w:p>
    <w:p>
      <w:r>
        <w:t>26. The notifying party was unable to provide the positions of the target and the acquirer in the upstream supply market. However, it argued that they were not significantly different from their market shares in the downstream retail distribution markets for the products concerned and that a significant portion of their supply of furniture and decoration/bazaar products is in any case sourced outside of France. In these downstream markets, But's market shares are estimated by the notifying party at [10-20]% in the furniture market and at less than [5-10]% in both the household appliance and decoration markets. The six retail outlets subject to the acquisition represent less than [0-5]% of these markets.</w:t>
      </w:r>
    </w:p>
    <w:p>
      <w:r>
        <w:t>27. Furthermore, there are other major groups in France present in the distribution of furniture and decoration/bazaar products, such as Ikea and Conforama, and in the distribution of white products, such as Darty and Boulanger.</w:t>
      </w:r>
    </w:p>
    <w:p>
      <w:r>
        <w:t>28. Therefore, the operation is not likely to raise competition issues in the supply markets through horizontal effects.</w:t>
      </w:r>
    </w:p>
    <w:p>
      <w:r>
        <w:t>2. DOWNSTREAM MARKETS FOR THE RETAIL DISTRIBUTION OF FURNITURE, DECORATION AND BAZAAR PRODUCTS, AND HOUSEHOLD APPLIANCES</w:t>
      </w:r>
    </w:p>
    <w:p>
      <w:r>
        <w:t>a) The market for household appliances</w:t>
      </w:r>
    </w:p>
    <w:p>
      <w:r>
        <w:t>29. The parties were unable to provide their market shares at the local level with precision. However, they estimate that their combined market shares in the retail sale of white products are below 25% in each of the relevant areas.</w:t>
      </w:r>
    </w:p>
    <w:p>
      <w:r>
        <w:t>30. In any case, the risks of harming competition can be ruled out given the marginal nature of the distribution of white products in the target's activity and the presence of numerous specialist competitors in household appliances in the areas of each of the stores concerned by the operation.</w:t>
      </w:r>
    </w:p>
    <w:p>
      <w:r>
        <w:t>b) The market for decoration and bazaar products</w:t>
      </w:r>
    </w:p>
    <w:p>
      <w:r>
        <w:t>31. Following the operation, the combined market shares of the parties in the various relevant catchment areas will remain below [5-10]%:</w:t>
        <w:br/>
        <w:t>But Target (Atlas or Fly) Total</w:t>
        <w:br/>
        <w:t>Claye Souilly (77) [0-5]% [0-5]% [5-10]%</w:t>
        <w:br/>
        <w:t>Orgeval (78) [0-5]% [0-5]% [5-10]%</w:t>
        <w:br/>
        <w:t>Herblay (95) [0-5]% [0-5]% [5-10]%</w:t>
        <w:br/>
        <w:t>Ezanville (95) [0-5]% [0-5]% [5-10]%</w:t>
        <w:br/>
        <w:t>Vitry sur Seine (94) [0-5]% [0-5]% [5-10]%</w:t>
        <w:br/>
        <w:t>Créteil (94) [0-5]% [0-5]% [5-10]%</w:t>
      </w:r>
    </w:p>
    <w:p>
      <w:r>
        <w:rPr>
          <w:b/>
        </w:rPr>
        <w:t>[Pages 7–8]</w:t>
      </w:r>
    </w:p>
    <w:p>
      <w:r>
        <w:t>32. In each of the relevant catchment areas, the entity resulting from the operation will continue to face competition from numerous retail outlets, including several national brands (such as Ikea, Conforama, Alinea, and Habitat).</w:t>
      </w:r>
    </w:p>
    <w:p>
      <w:r>
        <w:t>33. Under these conditions, the operation is not likely to raise competition issues in the relevant local markets.</w:t>
      </w:r>
    </w:p>
    <w:p>
      <w:r>
        <w:t>c) The market for furniture products</w:t>
      </w:r>
    </w:p>
    <w:p>
      <w:r>
        <w:t>34. Following the operation, the combined market shares of the parties in the various relevant catchment areas will remain below [10-20] %:</w:t>
      </w:r>
    </w:p>
    <w:p>
      <w:r>
        <w:t xml:space="preserve">But Target (Atlas or Fly) Total  </w:t>
        <w:br/>
        <w:t xml:space="preserve">Claye Souilly (77) [5-10] % [0-5] % [5-10] %  </w:t>
        <w:br/>
        <w:t xml:space="preserve">Orgeval (78) [5-10] % [0-5] % [10-20] %  </w:t>
        <w:br/>
        <w:t xml:space="preserve">Herblay (95) [5-10] % [5-10] % [10-20] %  </w:t>
        <w:br/>
        <w:t xml:space="preserve">Ezanville (95) [5-10] % [5-10] % [10-20] %  </w:t>
        <w:br/>
        <w:t xml:space="preserve">Vitry sur Seine (94) [5-10] % [5-10] % [10-20] %  </w:t>
        <w:br/>
        <w:t>Créteil (94) [0-5] % [5-10] % [10-20] %</w:t>
      </w:r>
    </w:p>
    <w:p>
      <w:r>
        <w:t>35. In each of the relevant catchment areas, the entity resulting from the operation will continue to face competition from numerous retail outlets, including several national brands (such as Ikea, Conforama, Alinea, and Habitat).</w:t>
      </w:r>
    </w:p>
    <w:p>
      <w:r>
        <w:t>36. Under these conditions, the operation is not likely to raise competition issues in the relevant local markets.</w:t>
      </w:r>
    </w:p>
    <w:p>
      <w:r>
        <w:t xml:space="preserve">DECIDES  </w:t>
        <w:br/>
        <w:t xml:space="preserve">Article one: The operation notified under number 14-184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