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https://www.autoritedelaconcurrence.fr/fr/decision-de-controle-des-concentrations/relative-la-prise-de-controle-exclusif-de-six-societes-0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21-DCC-113 of June 25, 2021  </w:t>
        <w:br/>
        <w:t xml:space="preserve">regarding the exclusive control acquisition of six companies belonging to the  </w:t>
        <w:br/>
        <w:t xml:space="preserve">Malbet group by the company Groupe Philippe Ginestet  </w:t>
        <w:br/>
        <w:t xml:space="preserve">The Competition Authority,  </w:t>
        <w:br/>
        <w:t xml:space="preserve">Having regard to the complete notification file sent to the mergers department on May 25, 2021,  </w:t>
        <w:br/>
        <w:t xml:space="preserve">regarding the exclusive control acquisition of six companies belonging to the Malbet group by the company  </w:t>
        <w:br/>
        <w:t xml:space="preserve">Groupe Philippe Ginestet, formalized by a letter of intent dated February 24,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Groupe Philippe  </w:t>
        <w:br/>
        <w:t xml:space="preserve">Ginestet of six companies belonging to the Malbet group, which distribute new and used motor vehicles  </w:t>
        <w:br/>
        <w:t xml:space="preserve">in Gers (32) and Lot-et-Garonne (47). It constitutes a concentration operation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On the other hand, the retail  </w:t>
        <w:br/>
        <w:t xml:space="preserve">control thresholds 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21-095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