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https://www.autoritedelaconcurrence.fr/fr/decision-de-controle-des-concentrations/relative-la-prise-de-controle-exclusif-de-six-societes</w:t>
      </w:r>
    </w:p>
    <w:p>
      <w:r>
        <w:t>Pages translated : 2</w:t>
      </w:r>
    </w:p>
    <w:p/>
    <w:p>
      <w:r>
        <w:rPr>
          <w:b/>
        </w:rPr>
        <w:t>[Pages 1–2]</w:t>
      </w:r>
    </w:p>
    <w:p>
      <w:r>
        <w:t xml:space="preserve">FRENCH REPUBLIC  </w:t>
        <w:br/>
        <w:t xml:space="preserve">Decision No. 19-DCC-231 of December 16, 2019  </w:t>
        <w:br/>
        <w:t xml:space="preserve">regarding the exclusive control acquisition of six overseas real estate companies by CDC Habitat  </w:t>
        <w:br/>
        <w:t xml:space="preserve">The Competition Authority,  </w:t>
        <w:br/>
        <w:t xml:space="preserve">Having regard to the complete notification file submitted to the mergers department on November 15, 2019, concerning the exclusive control acquisition of six overseas real estate companies by CDC Habitat, formalized by a letter of intent regarding the acquisition of shares issued by the SIDOM dated October 11,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six overseas real estate companies (hereinafter, the "SIDOM") by CDC Habitat, a subsidiary of the Caisse des dépôts et consignations, all of which are active in the real estate services markets. It constitutes a concentration operation within the meaning of Article L. 430-1 of the Commercial Code. Given the revenues generated by the companies concerned, the operation does not fall under the jurisdiction of the European Union. However, the control thresholds mentioned in point III of Article L. 430-2 of the Commercial Code are exceeded. This operation is therefore subject to the provisions of Articles L. 430-3 and following of the Commercial Code relating to economic concentration.  </w:t>
        <w:br/>
        <w:t>2. The operation leads to the acquisition of exclusive control of the SIDOM by a company, namely CDC Habitat, which previously exercised joint control over them prior to the operation. In light of the elements of the file, the operation is not likely to harm competition in the relevant markets.</w:t>
      </w:r>
    </w:p>
    <w:p>
      <w:r>
        <w:t xml:space="preserve">DECIDES  </w:t>
        <w:br/>
        <w:t xml:space="preserve">Sole Article: The operation notified under number 19-281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