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https://www.autoritedelaconcurrence.fr/fr/decision-de-controle-des-concentrations/relative-la-prise-de-controle-exclusif-de-skandia-life-sa</w:t>
      </w:r>
    </w:p>
    <w:p>
      <w:r>
        <w:t>Pages translated : 4</w:t>
      </w:r>
    </w:p>
    <w:p/>
    <w:p>
      <w:r>
        <w:rPr>
          <w:b/>
        </w:rPr>
        <w:t>[Pages 1–3]</w:t>
      </w:r>
    </w:p>
    <w:p>
      <w:r>
        <w:t xml:space="preserve">FRENCH REPUBLIC  </w:t>
        <w:br/>
        <w:t xml:space="preserve">Decision No. 14-DCC-171 of November 21, 2014  </w:t>
        <w:br/>
        <w:t>regarding the exclusive control of Skandia Life SA and Skandia Invest SA by the Apicil social protection group</w:t>
      </w:r>
    </w:p>
    <w:p>
      <w:r>
        <w:t xml:space="preserve">The Competition Authority,  </w:t>
        <w:br/>
        <w:t xml:space="preserve">Having regard to the notification file submitted in full to the merger service on October 28, 2014, concerning the acquisition of exclusive control of Skandia Life SA and Skandia Invest SA by the Apicil social protection group, formalized by a transfer agreement signed on September 3, 2014;  </w:t>
        <w:br/>
        <w:t xml:space="preserve">Having regard to Book IV of the Commercial Code relating to price and competition freedom, and in particular its Articles L. 430-1 to L. 430-7;  </w:t>
        <w:br/>
        <w:t xml:space="preserve">Having regard to the supplementary elements provided by the parties during the investigation;  </w:t>
        <w:br/>
        <w:t>Adopts the following decision:</w:t>
      </w:r>
    </w:p>
    <w:p>
      <w:r>
        <w:t xml:space="preserve">I. The concerned companies and the operation  </w:t>
        <w:br/>
        <w:t xml:space="preserve">1. Apicil Assurances is an insurance company governed by the Insurance Code, owned 80% by Apicil Prévoyance and 20% by Copernic (Humanis Group). It is part of the Apicil social protection group (hereinafter "Apicil"). Apicil Assurances aims to propose and carry out all personal insurance operations including co-insurance and reinsurance, as well as, more generally, all ancillary and related operations, and has the necessary approvals to provide insurance services under branches 1 (accident), 2 (illness), 20 (life-death), and 22 (insurance linked to investment funds)1. Apicil Prévoyance2 is a provident institution governed by Title III of Book IX of the Social Security Code and is also part of the Apicil social protection group.  </w:t>
        <w:br/>
        <w:t xml:space="preserve">1 Article R. 321-1 of the Insurance Code.  </w:t>
        <w:br/>
        <w:t>2 Apicil Prévoyance originates from Apicil Prévoyance, a provident institution born from the merger, in 1996, of the Interprofessional Provident Association of Executives and Engineers of the Lyon Region (Apicil Prévoyance) and the Complementary Retirement Association for the Lyon Industry and Commerce (Arcil Prévoyance).</w:t>
      </w:r>
    </w:p>
    <w:p>
      <w:r>
        <w:t xml:space="preserve">2. Skandia Life is a public limited company under Luxembourg law [confidential]. These companies are members of Old Mutual, a British financial services group listed on the London Stock Exchange. Skandia Life's purpose is to engage in any insurance activity primarily involving: (i) life insurance, life assurance, and mixed insurance, as well as any ancillary insurance activity; (ii) capitalization operations; (iii) the management of collective pension funds. Its activity is mainly oriented towards individual savings products (multi-support life insurance and capitalization products in account units).  </w:t>
        <w:br/>
        <w:t xml:space="preserve">3. Skandia Invest is an investment company under Luxembourg law [confidential]. It is active in the management of securities accounts as well as brokerage services in financial instruments.  </w:t>
        <w:br/>
        <w:t xml:space="preserve">4. The transfer agreement signed on September 3, 2014, provides for the acquisition of all shares of Skandia Life by Apicil Assurances and all shares of Skandia Invest by Apicil Prévoyance. These two operations, organized within a single agreement, are interdependent and simultaneous and will therefore be subject to a single examination.  </w:t>
        <w:br/>
        <w:t xml:space="preserve">5. Insofar as it results in the exclusive control by the Apicil group of Skandia Life and Skandia Invest, the notified operation constitutes a concentration within the meaning of Article L. 430-1 of the Commercial Code.  </w:t>
        <w:br/>
        <w:t>6. The concerned companies together achieve a total worldwide turnover of more than 150 million euros (Apicil group: 1.06 billion euros for the fiscal year ending December 31, 2013; target companies: […] euros for the same fiscal year) and each achieves, in France, a turnover exceeding 50 million euros (Apicil group: 1.06 billion euros for the fiscal year ending December 31, 2013; target companies: […] euros for the same fiscal year). Given these turnover figures,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r>
    </w:p>
    <w:p>
      <w:r>
        <w:t xml:space="preserve">II. Definition of relevant markets  </w:t>
        <w:br/>
        <w:t xml:space="preserve">7. The parties to the operation are simultaneously active in the insurance sector.  </w:t>
        <w:br/>
        <w:t xml:space="preserve">A. DEFINITION OF PRODUCT OR SERVICE MARKETS  </w:t>
        <w:br/>
        <w:t xml:space="preserve">8. Regarding the insurance sector, decision-making practice3 distinguishes between the markets for personal insurance, property insurance, and reinsurance. Concerning the first two categories of products, the competition authorities have determined that they can be segmented into as many markets as there are insurances covering different types of risks, insofar as, from the demand perspective, insurances covering these different risks are not substitutable4.  </w:t>
        <w:br/>
        <w:t xml:space="preserve">9. The parties to the operation are both present in the personal insurance sector. Decision-making practice has notably identified within this sector the market for savings and life insurance, which includes all financial products offered within the framework of optional capital or annuity insurances, and life insurance products5. Decision-making practice6 has also considered that a segmentation must be made between collective insurance contracts, concluded between an insurer and a subscriber distinct from the beneficiary, and individual insurance contracts for which the subscriber is also the beneficiary.  </w:t>
        <w:br/>
        <w:t xml:space="preserve">10. In this case, the parties are simultaneously active in individual life insurance.  </w:t>
        <w:br/>
        <w:t xml:space="preserve">11. In any event, the exact definition of the market concerned by this decision can be left open, as the conclusions of the competitive analysis will remain unchanged regardless of the segmentations retained.  </w:t>
        <w:br/>
        <w:t xml:space="preserve">B. DEFINITION OF GEOGRAPHICAL MARKETS  </w:t>
        <w:br/>
        <w:t xml:space="preserve">12. Except for certain insurances covering large-scale risks, decision-making practice7 has considered that the markets for insurance products are of national dimension given consumer preferences, the current structure of these markets, the existence of legislation, sectoral regulatory systems, and national tax constraints.  </w:t>
        <w:br/>
        <w:t>13. There is no need to challenge these definitions in the context of this operation.</w:t>
      </w:r>
    </w:p>
    <w:p>
      <w:r>
        <w:t xml:space="preserve">III. Competitive analysis  </w:t>
        <w:br/>
        <w:t>14. The parties to the operation are both active in personal insurance, in the market for savings and life insurance.</w:t>
      </w:r>
    </w:p>
    <w:p>
      <w:r>
        <w:rPr>
          <w:b/>
        </w:rPr>
        <w:t>[Pages 4–4]</w:t>
      </w:r>
    </w:p>
    <w:p>
      <w:r>
        <w:t>15. The notifying party has provided estimates of market shares for the sole segment of individual life insurance. Based on the 2014 ranking from Argus de l’Assurance, the notifying party estimates that the new entity would hold a market share of approximately [0-5]% in individual life insurance.</w:t>
      </w:r>
    </w:p>
    <w:p>
      <w:r>
        <w:t>16. Furthermore, the entity resulting from the notified operation will face competition from numerous players whose market shares are larger than those of the new entity. Thus, the main competitors of the parties include notably CNP, Crédit Agricole, Société Générale Insurance, BNP, Groupe des Assurances du Crédit Mutuel, and Axa.</w:t>
      </w:r>
    </w:p>
    <w:p>
      <w:r>
        <w:t>17. Consequently, the operation is not likely to harm competition in the market for savings and life insurance.</w:t>
      </w:r>
    </w:p>
    <w:p>
      <w:r>
        <w:t>DECIDES</w:t>
        <w:br/>
        <w:t>Sole Article: The operation notified under number 14-161 is authorized.</w:t>
        <w:b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