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https://www.autoritedelaconcurrence.fr/fr/decision-de-controle-des-concentrations/relative-la-prise-de-controle-exclusif-de-smartbox-par</w:t>
      </w:r>
    </w:p>
    <w:p>
      <w:r>
        <w:t>Pages translated : 5</w:t>
      </w:r>
    </w:p>
    <w:p/>
    <w:p>
      <w:r>
        <w:rPr>
          <w:b/>
        </w:rPr>
        <w:t>[Pages 1–3]</w:t>
      </w:r>
    </w:p>
    <w:p>
      <w:r>
        <w:t xml:space="preserve">FRENCH REPUBLIC  </w:t>
        <w:br/>
        <w:t xml:space="preserve">Decision No. 23-DEX-02 of May 2, 2023  </w:t>
        <w:br/>
        <w:t xml:space="preserve">regarding the exclusive control of Smartbox by Wonderbox  </w:t>
        <w:br/>
        <w:t xml:space="preserve">The Competition Authority,  </w:t>
        <w:br/>
        <w:t xml:space="preserve">Having regard to the notification file submitted in full to the merger service on March 24, 2023, regarding the exclusive control by Wonderbox of Topco, the parent company of the Smartbox group, formalized by the signing of a purchase promise on May 13, 2022;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Having regard to the other documents in the file;  </w:t>
        <w:br/>
        <w:t xml:space="preserve">Adopts the following decision:  </w:t>
        <w:br/>
        <w:t xml:space="preserve">1. Wonderbox, a simplified joint-stock company, is exclusively controlled by W Group, which holds [confidential] % of the capital and voting rights. It forms, with its subsidiaries, the Wonderbox group (hereinafter "Wonderbox"), which is primarily active in Europe and North America in the gift voucher sector. It is particularly active in the publishing and marketing of gift boxes and other gift vouchers offering access to a variety of tourism and leisure experiences. These boxes and experience gift vouchers are marketed under the brands Wonderbox, Vivabox, Cultur’in the City, and Tick’N’Box. More than 8,000 experience providers (hotels, restaurants, spas, etc.) are listed. Wonderbox also offers multi-brand gift cards under the brands Ma Carte Beauté, Ma Carte Mode, and Supercard. Furthermore, it operates an online platform for booking leisure activities, Funbooker. Wonderbox gift vouchers are marketed to intermediary organizations (companies, local authorities, or works councils) and consumers. Sales to consumers occur in physical retail outlets (in Fnac-Darty and Cultura stores, as well as Leclerc, Carrefour, Auchan, Système U, Intermarché, Casino, and Cora) or online on its own websites or on third-party platforms (Amazon).  </w:t>
        <w:br/>
        <w:t xml:space="preserve">2. Topco, a simplified joint-stock company, forms, with its various subsidiaries, the Smartbox group (hereinafter "Smartbox"). Smartbox primarily operates in Europe in the gift voucher sector and more specifically in the publishing and marketing of gift boxes and other gift vouchers offering access to a variety of tourism and leisure experiences. These are valid with more than 8,000 experience providers, partners of Smartbox. These boxes and other experience gift vouchers are marketed under the brands Smartbox, Euphorie, and Dakotabox. Smartbox also offers a multi-brand gift card to works councils, HappyCard, and operates an online booking platform for short stays, Weekendesk. Smartbox gift vouchers are marketed to intermediary organizations (companies, local authorities, or works councils) and consumers. Sales to consumers occur in physical retail outlets (in Fnac-Darty and Cultura stores, as well as Leclerc, Carrefour, Auchan, Système U, Intermarché, Casino, A.M.P., and Cora), or online on its own websites and on third-party platforms (Amazon).  </w:t>
        <w:br/>
        <w:t xml:space="preserve">3. The operation was formalized by the signing of a unilateral purchase promise dated May 13, 2022. Insofar as it consists of the acquisition by Wonderbox of all the capital and voting rights of Topco, the parent company of the Smartbox group, the operation results in the exclusive control of Smartbox by Wonderbox.  </w:t>
        <w:br/>
        <w:t xml:space="preserve">4. The companies concerned together achieve a global turnover excluding taxes of more than 150 million euros (Wonderbox: 153.1 million euros for the fiscal year ending April 30, 2022; Smartbox: 228.2 million euros for the fiscal year ending April 30, 2022). Each of these companies achieves a turnover in France of more than 50 million euros (Wonderbox: [≥ 50 million] euros for the fiscal year ending April 30, 2022; Smartbox: [≥ 50 million] euros for the fiscal year ending April 30, 2022).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5. The parties to the operation are the two historical and major specialized operators in the gift box sector. They thus operate, primarily and simultaneously, activities related to the offering of referral services, publishing, and marketing in connection with gift boxes and, to a lesser extent, cards and other gift vouchers, referred to as "experience," on which they list the leisure and tourism activities offered by third-party providers. The markets concerned by the operation are of national dimension.  </w:t>
        <w:br/>
        <w:t xml:space="preserve">6. According to national decision-making practice, the gift voucher sector operates similarly to a two-sided market. Thus, the economic viability of the gift voucher provider relies on its role as an interface between two distinct types of agents. National decision-making practice has distinguished an upstream market for the acceptance of gift vouchers, which connects gift voucher issuers with partner retailers, and a downstream market for the distribution of gift vouchers to end customers. Regarding the downstream market, it is segmented according to whether the distribution is to intermediary organizations — such as companies, local authorities, or works councils — (BtoB circuit) or to consumers (BtoC circuit). The Authority has considered segmenting the gift voucher distribution market according to the type of medium (boxes, checks, cards, etc.) and has considered, while leaving it open, the question of the opportunity for potential segmentation based on the single-brand or multi-brand nature of gift cards. The geographical delimitation retained is national.  </w:t>
        <w:br/>
        <w:t xml:space="preserve">7. The notifying party believes that the material definition of the market should be reconsidered in various respects. It considers that the segmentation according to the type of medium should be abandoned. It further believes that a market segmentation by type of "universe" should be introduced. Moreover, the notifying party considers that the relevant market should include online sales in addition to offline sales. Finally, considering that the market shares provided on a "French market for experience gift vouchers" would allow for a restitution of the competitive environment in the upstream and downstream markets, the notifying party believes that the new entity will only have limited market shares, both in the BtoB circuit and in the BtoC circuit. The new entity would still face competition from "traditional" gift voucher issuers as well as from other operators. Among these are two providers of white-label gift voucher solutions (Secretbox and Mybeezbox) as well as certain experience providers — namely partners self-issuing gift vouchers for their own experiences and having a certain size or notoriety.  </w:t>
        <w:br/>
        <w:t>8. Regarding the competitive analysis of the effects of the operation, the notifying party perceives the concentration as unlikely to generate anti-competitive effects, particularly in the markets for gift boxes and other experience gift vouchers intended for consumers. It essentially considers that the new entity would not be able to degrade the conditions offered to partners or increase the commission rate towards them since it would not constitute an essential outlet for them. It would also not be able to impose unfavorable conditions on physical distributors, given an imbalance in the power relationship in favor of the latter. The new entity would still be unable to increase the prices of gift vouchers.</w:t>
      </w:r>
    </w:p>
    <w:p>
      <w:r>
        <w:rPr>
          <w:b/>
        </w:rPr>
        <w:t>[Pages 4–5]</w:t>
      </w:r>
    </w:p>
    <w:p>
      <w:r>
        <w:t>experience gifts offered to end customers to the extent that any discrepancy in value between the sale price of the gift voucher and the included services would lead buyers to turn away from the products marketed by the parties. The notifying party further notes that the prices of the most popular experience gift vouchers among end customers have not changed for more than six years.</w:t>
      </w:r>
    </w:p>
    <w:p>
      <w:r>
        <w:t>9. At the conclusion of the examination provided for in I of Article L. 430-5 of the Commercial Code, the Authority considers that the information gathered during the investigation does not confirm the notifying party's analysis.</w:t>
      </w:r>
    </w:p>
    <w:p>
      <w:r>
        <w:t>10. In particular, in this case, the role of interface between a "partners" side and an "end customers" side played by the issuers of gift vouchers is crucial in the functioning of the concerned markets, which are bifacial.</w:t>
      </w:r>
    </w:p>
    <w:p>
      <w:r>
        <w:t>11. In this context, the products and services of operators not playing such an interface role — such as Secretbox and Mybeezbox, as well as the partners referred to by the notifying party who self-issue gift vouchers — do not appear, in various respects, to be sufficiently substitutable to be integrated into the concerned markets.</w:t>
      </w:r>
    </w:p>
    <w:p>
      <w:r>
        <w:t>12. By adopting such a hypothesis, in light of the combined market shares of the parties, exceeding 70%, and the degree of concentration resulting from the operation, even considering a single market for experience gift vouchers segmented solely based on the circuit, BtoB or BtoC, the operation would lead to the consolidation of the two main issuers of gift boxes and other experience gift vouchers in the BtoC circuit.</w:t>
      </w:r>
    </w:p>
    <w:p>
      <w:r>
        <w:t>13. Given all the preceding elements, it is necessary to initiate an in-depth examination, pursuant to III of Article L. 430-5 of the Commercial Code.</w:t>
      </w:r>
    </w:p>
    <w:p>
      <w:r>
        <w:t>DECIDES</w:t>
        <w:br/>
        <w:t>Sole Article: The operation notified under number 22-126 is subject to an in-depth examination under the conditions provided for in Article L. 430-6 of the Commercial Code.</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