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https://www.autoritedelaconcurrence.fr/fr/decision-de-controle-des-concentrations/relative-la-prise-de-controle-exclusif-de-societe-de</w:t>
      </w:r>
    </w:p>
    <w:p>
      <w:r>
        <w:t>Pages translated : 2</w:t>
      </w:r>
    </w:p>
    <w:p/>
    <w:p>
      <w:r>
        <w:rPr>
          <w:b/>
        </w:rPr>
        <w:t>[Pages 1–2]</w:t>
      </w:r>
    </w:p>
    <w:p>
      <w:r>
        <w:t xml:space="preserve">FRENCH REPUBLIC  </w:t>
        <w:br/>
        <w:t xml:space="preserve">Decision No. 19-DCC-121 of June 25, 2019  </w:t>
        <w:br/>
        <w:t xml:space="preserve">regarding the exclusive control acquisition of Société de diffusion Automobile d’Orsay by the Altaïr group  </w:t>
        <w:br/>
        <w:t xml:space="preserve">The Competition Authority,  </w:t>
        <w:br/>
        <w:t xml:space="preserve">Having regard to the complete notification file submitted to the mergers department on May 17, 2019, concerning the exclusive control acquisition of Société de diffusion Automobile d’Orsay by the Altaïr group, formalized by a transfer protocol dated April 30, 2019.  </w:t>
        <w:br/>
        <w:t xml:space="preserve">Having regard to Book IV of the Commercial Code relating to the freedom of prices and competition, and in particular its Articles L. 430-1 to L. 430-7;  </w:t>
        <w:br/>
        <w:t xml:space="preserve">Having regard to the elements submitted during the investigation;  </w:t>
        <w:br/>
        <w:t xml:space="preserve">Adopts the following decision:  </w:t>
        <w:br/>
        <w:t xml:space="preserve">1. The notified operation consists of the exclusive control acquisition by the Altaïr group, via its subsidiary Losange Auto, of Société de diffusion automobile d’Orsay, which operates a car dealership for Renault and Dacia brands located in Orsay (91). It constitutes a concentration operation within the meaning of Article L. 430-1 of the Commercial Code. Given the turnover achieved by the companies concerned, the operation does not fall under the jurisdiction of the European Union. However, the retail trade control thresholds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19-125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