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https://www.autoritedelaconcurrence.fr/fr/decision-de-controle-des-concentrations/relative-la-prise-de-controle-exclusif-de-societe-nouvelle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16-DCC-19 of February 11, 2016  </w:t>
        <w:br/>
        <w:t xml:space="preserve">regarding the exclusive control acquisition of Société Nouvelle Sud  </w:t>
        <w:br/>
        <w:t xml:space="preserve">Automobiles, operating two automotive distribution businesses, by Metin Holding  </w:t>
        <w:br/>
        <w:t xml:space="preserve">The Competition Authority,  </w:t>
        <w:br/>
        <w:t xml:space="preserve">Having regard to the notification file sent to the mergers department on December 14, 2015, and  </w:t>
        <w:br/>
        <w:t xml:space="preserve">declared complete on January 25, 2016, concerning the exclusive control acquisition by Metin  </w:t>
        <w:br/>
        <w:t xml:space="preserve">Holding of Société Nouvelle Sud Automobiles, operating two businesses from  </w:t>
        <w:br/>
        <w:t xml:space="preserve">JMA, materialized by a share transfer agreement under  </w:t>
        <w:br/>
        <w:t xml:space="preserve">suspensive conditions dated November 25,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Metin group operates car dealerships under the brands Peugeot,  </w:t>
        <w:br/>
        <w:t xml:space="preserve">Volkswagen, Audi, Seat, and Kia in Paris (75), Seine-et-Marne (77), Essonne (91),  </w:t>
        <w:br/>
        <w:t xml:space="preserve">Seine-St-Denis (93), and Val-de-Marne (94). The notified operation consists of the  </w:t>
        <w:br/>
        <w:t xml:space="preserve">exclusive control acquisition of Société Nouvelle Sud Automobiles, operating two automotive  </w:t>
        <w:br/>
        <w:t xml:space="preserve">distribution businesses under the Citroën brands located in Fontainebleau and Écuelles (77),  </w:t>
        <w:br/>
        <w:t xml:space="preserve">by Metin Holding, from JMA. It constitutes a concentration operation within the meaning of  </w:t>
        <w:br/>
        <w:t xml:space="preserve">Article L. 430-1 of the Commercial Code. Given the revenues generated by the  </w:t>
        <w:br/>
        <w:t xml:space="preserve">concerned companies, the operation does not fall under the jurisdiction of the  </w:t>
        <w:br/>
        <w:t xml:space="preserve">European Union. However, the control thresholds related to retail trade mentioned in  </w:t>
        <w:br/>
        <w:t xml:space="preserve">point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15-234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