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https://www.autoritedelaconcurrence.fr/fr/decision-de-controle-des-concentrations/relative-la-prise-de-controle-exclusif-de-societe</w:t>
      </w:r>
    </w:p>
    <w:p>
      <w:r>
        <w:t>Pages translated : 2</w:t>
      </w:r>
    </w:p>
    <w:p/>
    <w:p>
      <w:r>
        <w:rPr>
          <w:b/>
        </w:rPr>
        <w:t>[Pages 1–2]</w:t>
      </w:r>
    </w:p>
    <w:p>
      <w:r>
        <w:t xml:space="preserve">FRENCH REPUBLIC  </w:t>
        <w:br/>
        <w:t xml:space="preserve">Decision No. 16-DCC-196 of December 1, 2016  </w:t>
        <w:br/>
        <w:t xml:space="preserve">regarding the exclusive control acquisition of Société d’Alimentation Mevennaise and Société Ferté Gaucher Alimentation by the Système U group  </w:t>
        <w:br/>
        <w:t xml:space="preserve">The Competition Authority,  </w:t>
        <w:br/>
        <w:t xml:space="preserve">Having regard to the complete notification file submitted to the mergers department on November 2, 2016, concerning the exclusive control acquisition of Société d’Alimentation Mevennaise and Société Ferté Gaucher Alimentation by the Système U group, formalized by a transfer protocol dated October 4,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Système U group of the companies Société d’Alimentation Mevennaise and Société Ferté Gaucher Alimentation, each of which operates a food-dominant distribution store under the Super U brand respectively in Saint-Méen-le-Grand (35) and La Ferté Gaucher (77). This operation constitutes a concentration operation within the meaning of Article L. 430-1 of the Commercial Code. Given the revenues generated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16-233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