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https://www.autoritedelaconcurrence.fr/fr/decision-de-controle-des-concentrations/relative-la-prise-de-controle-exclusif-de-societes-du-0</w:t>
      </w:r>
    </w:p>
    <w:p>
      <w:r>
        <w:t>Pages translated : 2</w:t>
      </w:r>
    </w:p>
    <w:p/>
    <w:p>
      <w:r>
        <w:rPr>
          <w:b/>
        </w:rPr>
        <w:t>[Pages 1–2]</w:t>
      </w:r>
    </w:p>
    <w:p>
      <w:r>
        <w:t xml:space="preserve">FRENCH REPUBLIC  </w:t>
        <w:br/>
        <w:t xml:space="preserve">Decision No. 23-DCC-238 of December 1, 2023  </w:t>
        <w:br/>
        <w:t xml:space="preserve">regarding the exclusive control acquisition of companies from the Tousports group  </w:t>
        <w:br/>
        <w:t xml:space="preserve">by the Schiever group  </w:t>
        <w:br/>
        <w:t xml:space="preserve">The Competition Authority,  </w:t>
        <w:br/>
        <w:t xml:space="preserve">Having regard to the complete notification file submitted to the mergers department on October 31, 2023,  </w:t>
        <w:br/>
        <w:t xml:space="preserve">concerning the exclusive control acquisition of the business assets of the company Tousports, the parent company of the Tousports group, and the twenty-six companies owned by Tousports, by the company Anciens Établissements Georges Schiever et Fils, the parent company of the Schiever group, formalized by a share transfer agreement and a business asset transfer agreement dated July 12,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Anciens Établissements Georges Schiever et Fils of the business assets of the company Tousports as well as its twenty-six companies operating several retail stores located in the northwest quarter of metropolitan France under the brands Intersport, Intersport Outlet, Blackstore, and Go Sport. It constitutes a concentration operation within the meaning of Article L. 430-1 of the Commercial Code. Given the revenues generated by the companies involved, the operation does not fall under the jurisdiction of the European Union. On the other hand,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23-253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