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https://www.autoritedelaconcurrence.fr/fr/decision-de-controle-des-concentrations/relative-la-prise-de-controle-exclusif-de-societes-du-1</w:t>
      </w:r>
    </w:p>
    <w:p>
      <w:r>
        <w:t>Pages translated : 2</w:t>
      </w:r>
    </w:p>
    <w:p/>
    <w:p>
      <w:r>
        <w:rPr>
          <w:b/>
        </w:rPr>
        <w:t>[Pages 1–2]</w:t>
      </w:r>
    </w:p>
    <w:p>
      <w:r>
        <w:t>FRENCH REPUBLIC</w:t>
        <w:br/>
        <w:t>Decision No. 23-DCC-257 of December 28, 2023</w:t>
        <w:br/>
        <w:t>regarding the exclusive control acquisition of companies from the Ideal Standard group by the Villeroy &amp; Boch group</w:t>
        <w:br/>
        <w:t>The Competition Authority,</w:t>
        <w:br/>
        <w:t>Having regard to the complete notification file submitted to the mergers department on December 7, 2023, concerning the exclusive control acquisition of companies from the Ideal Standard group by the Villeroy &amp; Boch group, formalized by a sale and purchase agreement signed on September 18, 2023;</w:t>
        <w:br/>
        <w:t>Having regard to Book IV of the Commercial Code relating to the freedom of prices and competition, and in particular its Articles L. 430-1 to L. 430-7;</w:t>
        <w:br/>
        <w:t>Adopts the following decision:</w:t>
        <w:br/>
        <w:t>1. The notified operation consists of the exclusive control acquisition by the Villeroy &amp; Boch group of the companies Ideal Standard MENA Midco Limited, Ideal Standard International N.V, Ideal Standard Holdings (BC) Italy S.r.l. and Ideal Standard Holdings (BC) Germany GmbH, which are primarily active in the bathroom equipment manufacturing sector. The operation constitutes a concentration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23-291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