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https://www.autoritedelaconcurrence.fr/fr/decision-de-controle-des-concentrations/relative-la-prise-de-controle-exclusif-de-societes-du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20-DCC-112 of August 26, 2020</w:t>
        <w:br/>
        <w:t>regarding the exclusive control acquisition of companies from the Pyctoria group</w:t>
        <w:br/>
        <w:t>by the company Factonext</w:t>
        <w:br/>
        <w:t>The Competition Authority,</w:t>
        <w:br/>
        <w:t>Having regard to the complete notification file sent to the mergers department on August 3, 2020,</w:t>
        <w:br/>
        <w:t>concerning the exclusive control acquisition of companies from the Pyctoria group by the company Factonext,</w:t>
        <w:br/>
        <w:t>formalized by an acquisition protocol dated August 3, 2020,</w:t>
        <w:br/>
        <w:t>Having regard to Book IV of the Commercial Code relating to the freedom of prices and competition, and</w:t>
        <w:br/>
        <w:t>notably its Articles L. 430-1 to L. 430-7;</w:t>
        <w:br/>
        <w:t>Having regard to the additional elements transmitted by the notifying party during the investigation;</w:t>
        <w:br/>
        <w:t>Adopts the following decision:</w:t>
        <w:br/>
        <w:t>1. The notified operation consists of the exclusive control acquisition by the company Factonext of subsidiaries</w:t>
        <w:br/>
        <w:t>of the Pyctoria group, active in the retail distribution of computer equipment, printing solutions, and associated services for professionals. It constitutes</w:t>
        <w:br/>
        <w:t>a concentration operation within the meaning of Article L. 430-1 of the Commercial Code. Given</w:t>
        <w:br/>
        <w:t>the turnover achieved by the companies concerned, the operation does not fall under the</w:t>
        <w:br/>
        <w:t>jurisdiction of the European Union. On the other hand, the control thresholds mentioned in point I</w:t>
        <w:br/>
        <w:t>of Article L. 430-2 of the Commercial Code are exceeded. This operation is therefore subject</w:t>
        <w:br/>
        <w:t>to the provisions of Articles L. 430-3 and following of the Commercial Code relating to</w:t>
        <w:br/>
        <w:t>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20-050 is authorized.</w:t>
        <w:br/>
        <w:t>The Vice-President,</w:t>
        <w:br/>
        <w:t>Emmanuel Combe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