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https://www.autoritedelaconcurrence.fr/fr/decision-de-controle-des-concentrations/relative-la-prise-de-controle-exclusif-de-societes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19-DCC-223 of December 10, 2019  </w:t>
        <w:br/>
        <w:t xml:space="preserve">regarding the exclusive control acquisition of companies belonging to the  </w:t>
        <w:br/>
        <w:t xml:space="preserve">Choux Automobiles group by the company JMJ Automobiles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18, 2019, concerning the exclusive control acquisition of four companies belonging to the  </w:t>
        <w:br/>
        <w:t xml:space="preserve">Choux Automobiles group by the company JMJ Automobiles, formalized by a transfer protocol dated October 3, 2019.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acquisition of exclusive control by the company JMJ Automobiles of  </w:t>
        <w:br/>
        <w:t xml:space="preserve">companies belonging to the Choux Automobiles group (Choux Automobiles, C. Automobiles,  </w:t>
        <w:br/>
        <w:t xml:space="preserve">Epinal Auto, Rent 88), which engage in automobile dealership activities under the  </w:t>
        <w:br/>
        <w:t xml:space="preserve">Peugeot and Citroen brands as well as vehicle rental activities, in the  </w:t>
        <w:br/>
        <w:t xml:space="preserve">Vosges department (88). This is a concentration operation within the meaning of Article  </w:t>
        <w:br/>
        <w:t xml:space="preserve">L. 430-1 of the Commercial Code. Given the turnover generated by the companies  </w:t>
        <w:br/>
        <w:t xml:space="preserve">concerned, the operation does not fall under the jurisdiction of the European Union. On the other hand,  </w:t>
        <w:br/>
        <w:t xml:space="preserve">the retail trade control thresholds mentioned in point II of Article L. 430-2 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19-276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