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https://www.autoritedelaconcurrence.fr/fr/decision-de-controle-des-concentrations/relative-la-prise-de-controle-exclusif-de-sodelem-par-le</w:t>
      </w:r>
    </w:p>
    <w:p>
      <w:r>
        <w:t>Pages translated : 8</w:t>
      </w:r>
    </w:p>
    <w:p/>
    <w:p>
      <w:r>
        <w:rPr>
          <w:b/>
        </w:rPr>
        <w:t>[Pages 1–3]</w:t>
      </w:r>
    </w:p>
    <w:p>
      <w:r>
        <w:t xml:space="preserve">FRENCH REPUBLIC  </w:t>
        <w:br/>
        <w:t xml:space="preserve">Decision No. 10-DCC-128 of September 30, 2010  </w:t>
        <w:br/>
        <w:t xml:space="preserve">regarding the exclusive control of Sodelem by CIC  </w:t>
        <w:br/>
        <w:t xml:space="preserve">The Competition Authority,  </w:t>
        <w:br/>
        <w:t xml:space="preserve">Having regard to the notification file submitted in full to the concentrations service on August 27, 2010, regarding the exclusive control of Sodelem by Crédit Industriel et Commercial (hereinafter "CIC"), formalized by a draft merger-absorption agreement of Sodelem by CM-CIC Bail, a subsidiary of CIC, approved by the board of directors of CM-CIC Bail on May 4, 2010, and the executive board of CIC on May 17, 2010;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Crédit Industriel et Commercial (hereinafter "CIC") is the holding company of the CIC group. CIC is controlled by the regional group Crédit Mutuel Centre Est Europe (hereinafter "Crédit Mutuel CEE"), which holds 91.84% of the capital of CIC1. The CIC group consists of six regional banks and specialized subsidiaries by profession and mainly operates in the sectors of retail banking, financing banking, private banking, and development capital. The Crédit Mutuel CEE group achieved, in 2009, a worldwide consolidated turnover excluding taxes of [&gt;150] million euros, of which [&gt;50] million in France.  </w:t>
        <w:br/>
        <w:t xml:space="preserve">2. Sodelem is a public limited company primarily active in the sector of leasing financing services for business equipment, and its capital is currently held by seven regional federal banks of the Crédit Mutuel group2. Sodelem achieved, in 2009, a worldwide consolidated turnover excluding taxes of [&gt;50] million euros, entirely realized in France.  </w:t>
        <w:br/>
        <w:t xml:space="preserve">3. The proposed transaction consists of the acquisition of the entire share capital and voting rights of Sodelem by CIC. Upon completion of the transaction, Sodelem will merge with CM-CIC Bail, a 99.07% subsidiary of CIC. Post-transaction, CIC will hold 99.2% of the capital of the combined CM-CIC Bail/Sodelem entity.  </w:t>
        <w:br/>
        <w:t xml:space="preserve">4. As it results in the exclusive control of Sodelem by CIC, the notified transaction constitutes a concentration within the meaning of Article L. 430-1 of the Commercial Code. The transaction does not have a Community dimension, as each of the companies concerned achieves more than two-thirds of their turnover in France. However, the control thresholds mentioned in I of Article L. 430-2 of the Commercial Code are exceeded. The present operation is therefore subject to the provisions of Articles L. 430-3 and following of the Commercial Code relating to economic concentration.  </w:t>
        <w:br/>
        <w:t xml:space="preserve">II. Delimitation of the relevant markets  </w:t>
        <w:br/>
        <w:t xml:space="preserve">5. CIC, through its subsidiary, CM-CIC Bail, and Sodelem offer leasing financing services for movable property to businesses and professionals as well as to individuals (financial leasing, lease with purchase option) and, incidentally, insurance products associated with leasing financing services.  </w:t>
        <w:br/>
        <w:t xml:space="preserve">6. CIC Bail also carries out, through its specialized financing department, leasing operations through ad hoc structures for the financing of assets such as ships or aircraft in the context of often syndicated and international tax operations. Sodelem does not offer this type of operations.  </w:t>
        <w:br/>
        <w:t xml:space="preserve">A. THE PRODUCT MARKETS  </w:t>
        <w:br/>
        <w:t xml:space="preserve">1. THE MARKETS FOR LEASING FINANCING OF MOVABLE PROPERTY  </w:t>
        <w:br/>
        <w:t xml:space="preserve">7. National and Community decision-making practice traditionally segments the banking sector into three distinct product markets: retail banking services for individuals (retail banking), banking services for businesses (commercial banking), and operations on financial markets. Furthermore, national and Community competition authorities consider that these three categories of services can be subdivided into numerous specific services.  </w:t>
        <w:br/>
        <w:t xml:space="preserve">8. Within the commercial banking sector, the parties will simultaneously offer leasing financing services for equipment intended for businesses following the operation.  </w:t>
        <w:br/>
        <w:t xml:space="preserve">2 […].  </w:t>
        <w:br/>
        <w:t>2</w:t>
      </w:r>
    </w:p>
    <w:p>
      <w:r>
        <w:t xml:space="preserve">9. The parties propose to establish a separate market encompassing all leasing financing methods for equipment intended for businesses, regardless of their nature (machine tools, vehicles, office equipment, telecommunications, heavy industrial equipment, various industrial materials and furniture...) considering the significant degree of substitutability, both from the demand and supply perspective, among the different methods of financing movable assets offered (leasing, financial leasing, lease with purchase option, long-term leasing, etc.).  </w:t>
        <w:br/>
        <w:t xml:space="preserve">10. The parties also specify that the leasing financing services for equipment for businesses are distinct from the financing services for assets carried out by specialized bank services through ad hoc structures, although these operations use the same legal mechanism, namely leasing or rental. Indeed, these services concern large-scale assets such as aircraft, ships, solar farms, or wind farms and require the implementation of a complex and generally cross-border operation. These operations are often concluded with foreign lessees and involve a tax component based on bilateral tax treaties. They are often subject to the application of laws from several countries. Furthermore, they incorporate complex financing mechanisms for the acquisitions of the leased goods and involve the establishment of guarantees on loans and on the leased goods. Additionally, they frequently involve syndication among several banks. Finally, they have a significantly longer duration (8/10 years) than that of traditional leasing or rental operations set up by specialized institutions (4/5 years), it being specified that the duration of a leasing operation must correspond to the normal fiscal depreciation period of the leased asset.  </w:t>
        <w:br/>
        <w:t xml:space="preserve">11. Previous decision-making practice has considered that it was possible to segment the leasing financing services for movable assets intended for businesses based on the leasing financing modalities offered such as leasing, financial leasing, long-term vehicle leasing, but ultimately left the precise delineation of the markets in question open3. It also considered a distinction based on the categories of assets on which these services are based, the categories of clients, or the different sectors of activity of the clients, but also left the precise delineation of the markets in question open4.  </w:t>
        <w:br/>
        <w:t xml:space="preserve">12. Within the retail banking sector, the parties will simultaneously offer leasing financing services for movable property intended for individuals following the operation.  </w:t>
        <w:br/>
        <w:t xml:space="preserve">13. Previous decision-making practice has considered that leasing financing services for movable property intended for individuals such as financial leasing or lease with purchase option constituted a form of consumer credit just like earmarked loans or personal loans (including classic personal loans and renewable personal loans) but left the precise delineation of the markets in question open3. See in particular the decisions of the European Commission COMP/M.5384, BNP Paribas / Fortis, December 3, 2008; COMP/M.4844, Fortis/ABN AMRO Assets, October 3, 2007; COMP/M.2970, GE/ABB Structured Finance, November 5, 2002; decision No. 10-DCC-48 of June 2, 2010, regarding the exclusive control of Amonite SAS by Manuloc SA; decision No. 09-DCC-16 of June 22, 2009, regarding the merger between the Caisse d’Epargne and Banque Populaire groups; letter from the Minister of Economy, Finance and Industry dated December 20, 2005, to the councils of ING Car Lease France regarding a concentration in the long-term vehicle leasing sector; letter from the Minister of Economy, Finance and Industry dated August 22, 2005, to the council of the Société Générale group regarding a concentration in the long-term vehicle leasing sector.  </w:t>
        <w:br/>
        <w:t xml:space="preserve">4 See in particular the decisions of the European Commission COMP/M.5384 and COMP/M.2970 mentioned above.  </w:t>
        <w:br/>
        <w:t>3</w:t>
      </w:r>
    </w:p>
    <w:p>
      <w:r>
        <w:rPr>
          <w:b/>
        </w:rPr>
        <w:t>[Pages 4–6]</w:t>
      </w:r>
    </w:p>
    <w:p>
      <w:r>
        <w:t>and notably the possibility of a sub-segmentation between these different modes of financing5.</w:t>
      </w:r>
    </w:p>
    <w:p>
      <w:r>
        <w:t>14. It is not necessary within the framework of the present operation to decide on a precise delineation of the markets in question, insofar as regardless of the delineation adopted, the conclusions of the competitive analysis will remain unchanged.</w:t>
      </w:r>
    </w:p>
    <w:p>
      <w:r>
        <w:t>2. THE MARKETS FOR THE DISTRIBUTION OF INSURANCE PRODUCTS ASSOCIATED WITH THE LEASING FINANCING OF MOVABLE PROPERTY</w:t>
      </w:r>
    </w:p>
    <w:p>
      <w:r>
        <w:t>15. Within the insurance sector, national and community competition authorities consistently distinguish between personal insurance, property and liability insurance, and the distribution of insurance6.</w:t>
      </w:r>
    </w:p>
    <w:p>
      <w:r>
        <w:t>16. The parties will simultaneously distribute, following the operation, insurance products associated with the leasing financing of movable property.</w:t>
      </w:r>
    </w:p>
    <w:p>
      <w:r>
        <w:t>17. In terms of insurance distribution, the decision-making practice considers that it is possible to adopt a broad market for the distribution of insurance products by independent intermediaries, encompassing all distribution channels: agents, brokers, and other intermediaries (including banks), with the exception of direct distribution by insurance companies7, or a narrower market for insurance brokerage, including only this distribution channel8. Furthermore, segmentations based on clientele (businesses or individuals) and major categories of insured risks have also been considered, due to their low substitutability.</w:t>
      </w:r>
    </w:p>
    <w:p>
      <w:r>
        <w:t>18. In the present case, the question of the exact definition of the markets regarding insurance distribution can be left open insofar as, regardless of the delineation adopted, the conclusions of the analysis will remain unchanged.</w:t>
      </w:r>
    </w:p>
    <w:p>
      <w:r>
        <w:t>B. GEOGRAPHICAL MARKETS</w:t>
      </w:r>
    </w:p>
    <w:p>
      <w:r>
        <w:t>19. National and community authorities have generally considered that the geographical dimension of leasing service markets is national when services are provided to small and medium-sized enterprises, and could be broader than national when these services are provided to large enterprises9.</w:t>
      </w:r>
    </w:p>
    <w:p>
      <w:r>
        <w:t>20. The markets for the distribution of insurance products have essentially been considered to be of national dimension.</w:t>
      </w:r>
    </w:p>
    <w:p>
      <w:r>
        <w:t>21. There is no need to challenge these delineations during the examination of the present operation.</w:t>
      </w:r>
    </w:p>
    <w:p>
      <w:r>
        <w:t>III. Competitive Analysis</w:t>
      </w:r>
    </w:p>
    <w:p>
      <w:r>
        <w:t>A. EQUIPMENT LEASING FINANCING SERVICES</w:t>
      </w:r>
    </w:p>
    <w:p>
      <w:r>
        <w:t>1. EQUIPMENT LEASING FINANCING SERVICES FOR BUSINESSES</w:t>
      </w:r>
    </w:p>
    <w:p>
      <w:r>
        <w:t>22. As previously indicated, the parties simultaneously offer equipment leasing financing services for businesses (operating lease, lease with purchase option, financial lease). The equipment subject to such operations includes goods that meet the needs of businesses, such as machine tools, office equipment, IT equipment, telecommunications equipment, furniture, etc.</w:t>
      </w:r>
    </w:p>
    <w:p>
      <w:r>
        <w:t>23. The market shares, expressed in value for the year 2009, for each of the segments in which the parties are active in the equipment leasing financing sector for businesses, are shown in the table below.</w:t>
      </w:r>
    </w:p>
    <w:p>
      <w:r>
        <w:t>9 See in particular the decisions of the European Commission COMP/M.5384, COMP/M.4844, and COMP/M.2970 cited above as well as decision no. 09-DCC-16 cited above.</w:t>
      </w:r>
    </w:p>
    <w:p>
      <w:r>
        <w:t>Size of CM-CIC Bail Sodelem Total market</w:t>
        <w:br/>
        <w:t>(production Production Production Production</w:t>
        <w:br/>
        <w:t>2009 in 2009 in Share of 2009 in Share of 2009 in Share of</w:t>
        <w:br/>
        <w:t>million million market million market million market</w:t>
        <w:br/>
        <w:t>euros)10 euros euros euros</w:t>
        <w:br/>
        <w:t>Leasing financing 18,928 […] [5-10] % […] [&lt;5] % […] [10-20] %</w:t>
        <w:br/>
        <w:t>for businesses</w:t>
        <w:br/>
        <w:t>Operating lease 9,272 […] [10-20] % […] [&lt;5] % […] [10-20] %</w:t>
        <w:br/>
        <w:t>Lease with 1,472 […] [10-20] % […] [&lt;5] % […] [10-20] %</w:t>
        <w:br/>
        <w:t>purchase option</w:t>
        <w:br/>
        <w:t>Financial lease 4,650 […] [5-10] % […] [&lt;5] % […] [5-10] %</w:t>
        <w:br/>
        <w:t>Long-term lease 3,535 […] [0-5] % […] [&lt;5] % […] [0-5] %</w:t>
      </w:r>
    </w:p>
    <w:p>
      <w:r>
        <w:t>24. It follows from this table that, following the operation, the parties will hold market shares of less than 20%, regardless of the market segmentation adopted, and that the increment of the market share of CM-CIC Bail resulting from the operation will be less than 5%.</w:t>
      </w:r>
    </w:p>
    <w:p>
      <w:r>
        <w:t>25. Furthermore, the parties will continue to face the presence of sufficiently numerous and powerful competitors such as Crédit Agricole, BNP, and Société Générale, whose market shares are higher than that of the new entity, as well as competition from about fifty other operators, the most significant of which are Natixis Lease, Oseo Financement, C.G.L, De Lage Landen Group, Volkswagen Bank GmbH, Bail-Actea, and Fortis Lease.</w:t>
      </w:r>
    </w:p>
    <w:p>
      <w:r>
        <w:t>2. EQUIPMENT LEASING FINANCING SERVICES FOR INDIVIDUALS</w:t>
      </w:r>
    </w:p>
    <w:p>
      <w:r>
        <w:t>26. As previously mentioned, the parties simultaneously offer equipment leasing financing services for individuals. This exclusively involves lease with purchase option services. This activity represents an extremely small share of each party's business, namely [0-5] % for CM-CIC Bail and [5-10] % for Sodelem.</w:t>
      </w:r>
    </w:p>
    <w:p>
      <w:r>
        <w:t>27. The market shares, expressed in value for the year 2009, are shown in the following table:</w:t>
      </w:r>
    </w:p>
    <w:p>
      <w:r>
        <w:t>10 Source: French Association of Financial Companies (“ASF”), http://www.asf-france.com/SDoc/Statistiques/200912_Eqpmt_Prof.pdf. This data only concerns specialized establishments, that is to say, credit institutions authorized as financial companies authorized to carry out leasing and lease with purchase option operations. All these credit institutions are affiliated with the Association of Financial Companies (ASF) and are grouped within the ASF in the FLEE section (Leasing financing of equipment for businesses).</w:t>
      </w:r>
    </w:p>
    <w:p>
      <w:r>
        <w:rPr>
          <w:b/>
        </w:rPr>
        <w:t>[Pages 7–8]</w:t>
      </w:r>
    </w:p>
    <w:p>
      <w:r>
        <w:t>Size of CM-CIC Bail Sodelem Total</w:t>
        <w:br/>
        <w:t>market</w:t>
        <w:br/>
        <w:t>(production Production Production Production</w:t>
        <w:br/>
        <w:t>2009 in 2009 in Market share 2009 in Market share 2009 in Market share</w:t>
        <w:br/>
        <w:t>million million market million market million market</w:t>
        <w:br/>
        <w:t>euros)11 euros euros euros</w:t>
        <w:br/>
        <w:t>Leasing</w:t>
        <w:br/>
        <w:t>financing of</w:t>
        <w:br/>
        <w:t>equipment</w:t>
        <w:br/>
        <w:t>for</w:t>
        <w:br/>
        <w:t>individuals 2,733 […] [0-5] % […] [0-5] % […] [0-5] %</w:t>
        <w:br/>
        <w:t>(including</w:t>
        <w:br/>
        <w:t>leasing with</w:t>
        <w:br/>
        <w:t>and without</w:t>
        <w:br/>
        <w:t>purchase option)</w:t>
        <w:br/>
        <w:t>Lease with</w:t>
        <w:br/>
        <w:t>purchase 2,617 […] [0-5] % […] [0-5] % […] [0-5] %</w:t>
        <w:br/>
        <w:t>option</w:t>
        <w:br/>
        <w:t>28. It follows from this table that, upon completion of the transaction, the parties will hold a very modest cumulative market share of around [0-5] % regardless of the market segmentation retained. Furthermore, the parties will continue to face a highly competitive environment, notably including competition from the subsidiaries of powerful banking groups.</w:t>
      </w:r>
    </w:p>
    <w:p>
      <w:r>
        <w:t>B. INSURANCE PRODUCTS ASSOCIATED WITH LEASING FINANCING SERVICES FOR EQUIPMENT</w:t>
      </w:r>
    </w:p>
    <w:p>
      <w:r>
        <w:t>29. The parties offer insurance products associated with the leasing financing services they provide. These insurances are either insurances for rented equipment or personal insurances (death, disability). CM-CIC Bail and Sodelem act as commissioned insurance intermediaries by distributing the insurance products subscribed to with Assurances du Crédit Mutuel, Vie or IARD.</w:t>
      </w:r>
    </w:p>
    <w:p>
      <w:r>
        <w:t>30. The cumulative market share of the parties in the markets for the distribution of insurance products will be extremely low. Indeed, there are many competitors in these markets including agents, brokers, insurance companies, or banking institutions that offer insurances covering all types of risks.</w:t>
      </w:r>
    </w:p>
    <w:p>
      <w:r>
        <w:t>31. It should also be noted that the clients of the parties, like the clients of their competitors, have the option to subscribe to insurance from another provider, whether it be an agent, broker, insurance company, or banking institution. In this regard, only […] clients of CM-CIC Bail and […] clients of Sodelem subscribe to a group insurance policy offered respectively by CM-CIC Bail or Sodelem.</w:t>
      </w:r>
    </w:p>
    <w:p>
      <w:r>
        <w:t>32. It follows from the above that the notified transaction is not likely to harm competition in the markets for leasing financing services for equipment intended for businesses or individuals or in the markets for the distribution of insurance products.</w:t>
      </w:r>
    </w:p>
    <w:p>
      <w:r>
        <w:t>DECIDES</w:t>
      </w:r>
    </w:p>
    <w:p>
      <w:r>
        <w:t>Sole Article: The transaction notified under number 10-0135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