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https://www.autoritedelaconcurrence.fr/fr/decision-de-controle-des-concentrations/relative-la-prise-de-controle-exclusif-de-sofinther-par</w:t>
      </w:r>
    </w:p>
    <w:p>
      <w:r>
        <w:t>Pages translated : 7</w:t>
      </w:r>
    </w:p>
    <w:p/>
    <w:p>
      <w:r>
        <w:rPr>
          <w:b/>
        </w:rPr>
        <w:t>[Pages 1–3]</w:t>
      </w:r>
    </w:p>
    <w:p>
      <w:r>
        <w:t xml:space="preserve">FRENCH REPUBLIC  </w:t>
        <w:br/>
        <w:t xml:space="preserve">Decision No. 15-DCC-167 of December 11, 2015  </w:t>
        <w:br/>
        <w:t>regarding the exclusive control of Sofinther by Rexel France</w:t>
      </w:r>
    </w:p>
    <w:p>
      <w:r>
        <w:t xml:space="preserve">The Competition Authority,  </w:t>
        <w:br/>
        <w:t xml:space="preserve">Having regard to the notification file submitted in full to the merger service on November 9, 2015, regarding the exclusive control of the company Sofinther by the company Rexel France, formalized by a share transfer agreement dated September 4,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Rexel France is a subsidiary of the Rexel group. The Rexel group (hereinafter, "Rexel") is primarily active in the distribution of electrical equipment. It markets seven families of products to professionals: electrical installation equipment, conduits and cables, lighting, security and communication, climate engineering, white and brown goods, and tools. Rexel is also present in France in the distribution of sanitary, heating, and air conditioning products (hereinafter, "SACHA products"). It distributes through its brands the following product families: plumbing, heating, and air conditioning. Rexel has approximately 470 points of sale in France.  </w:t>
        <w:br/>
        <w:t>2. Sofinther is a company specialized in the distribution of SACHA products, excluding sanitary products other than faucets and plumbing products, to professionals. It has 24 agencies across the national territory. Sofinther is a family-owned company [confidential].</w:t>
      </w:r>
    </w:p>
    <w:p>
      <w:r>
        <w:t xml:space="preserve">3. The notified transaction, formalized by the signing of a share transfer agreement between the companies RAF and Rexel France on September 4, 2015, consists of the acquisition by Rexel France of all the shares of Sofinther. As it results in the exclusive control of Sofinther by the Rexel group, the notified transaction constitutes a concentration operation within the meaning of Article L. 430-1 of the Commercial Code.  </w:t>
        <w:br/>
        <w:t>4. The companies concerned together achieve a total worldwide turnover excluding tax of more than 150 million euros (Rexel: 13.1 billion euros for the fiscal year ending December 31, 2014; Sofinther: 105.5 million euros for the fiscal year ending August 31, 2014). Each of these companies has achieved a turnover in France exceeding 50 million euros (Rexel: 2.6 billion euros for the same fiscal year; Sofinther: 105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parties are simultaneously active in the markets for SACHA products. In these markets, the parties are present both upstream, as buyers of materials from manufacturers, and downstream in the specialized trading market. Rexel is also active in the related market of trading in electrical products.  </w:t>
        <w:br/>
        <w:t xml:space="preserve">A. MARKETS FOR PRODUCTS AND SERVICES  </w:t>
        <w:br/>
        <w:t xml:space="preserve">1. UPSTREAM MARKETS FOR THE SUPPLY OF SACHA PRODUCTS  </w:t>
        <w:br/>
        <w:t xml:space="preserve">6. Consistently, national decisional practice1 distinguishes as many markets as there are families of products in the construction materials sector. The structure of the offer, pricing dynamics, or manufacturing constraints can indeed vary significantly from one product family to another, and suppliers are generally active only in one or two of these families. Four product families have been distinguished: (i) sanitary products, (ii) heating products, (iii) air conditioning products, and (iv) plumbing products.  </w:t>
        <w:br/>
        <w:t xml:space="preserve">7. Regarding SACHA products, the European Commission2 has considered a global market for the supply of sanitary, heating, and plumbing products.  </w:t>
        <w:br/>
        <w:t xml:space="preserve">8. In this case, since regardless of the hypothesis retained, the conclusions of the competitive analysis will remain unchanged, the question of the precise delimitation of the upstream markets for the supply of SACHA products can remain open.  </w:t>
        <w:br/>
        <w:t xml:space="preserve">1 Decisions No. 10-DCC-03 of January 12, 2010, regarding the exclusive control of the MAFART group by the company ANCS (Accueil group), No. 12-DCC-41 of March 23, 2012, regarding the exclusive control of the company Brossette by the company Point P, and No. 15-DCC-145 of October 27, 2015, regarding the joint control of Anjac CSI SA by Tereva SAS alongside the company Anjac SA.  </w:t>
        <w:br/>
        <w:t>2 Decision of the European Commission No. COMP/M.3184, Wholesley / Pinault Bois &amp; Matériaux of July 3, 2003.</w:t>
      </w:r>
    </w:p>
    <w:p>
      <w:r>
        <w:t xml:space="preserve">2. THE DOWNSTREAM MARKET OF SPECIALIZED TRADING IN SACHA PRODUCTS  </w:t>
        <w:br/>
        <w:t xml:space="preserve">9. Within the construction materials trading market, the Authority has identified a distinct market for specialized trading in SACHA products intended for professionals3.  </w:t>
        <w:br/>
        <w:t xml:space="preserve">10. Decision-making practice has, in fact, established a distinction between "generalist" and "specialist" traders insofar as the depth of product ranges distributed differs between these two distribution channels4. The offer from "generalist" traders covers a complete assortment of product ranges and is aimed at all downstream players in the construction sector. "Specialist" traders, whose offer is centered on a family of products, provide deeper ranges and more advanced expertise on specific product lines.  </w:t>
        <w:br/>
        <w:t xml:space="preserve">11. Furthermore, regarding the trading of SACHA products, it is intended to meet the specific needs of a particular category of customers, namely plumbers and heating engineers5. They generally source from these specialized points of sale, the largest of which sometimes have over 200,000 referenced products. They often benefit from professional accounts and services, such as sizing studies, and have exhibition spaces ("showrooms") to showcase products to end customers. Finally, they take their orders on-site (sometimes on their way to the construction sites) or have them delivered to their workplace.  </w:t>
        <w:br/>
        <w:t>12. In this case, the parties did not challenge this delimitation. Therefore, the effects of the operation will be analyzed in a market for specialized trading in SACHA products.</w:t>
      </w:r>
    </w:p>
    <w:p>
      <w:r>
        <w:t xml:space="preserve">3. THE DOWNSTREAM MARKET OF SPECIALIZED TRADING IN ELECTRICAL PRODUCTS  </w:t>
        <w:br/>
        <w:t xml:space="preserve">13. In terms of the distribution of electrical products to professionals, the decision-making practice of European and national competition authorities6 does not distinguish between the different families of electrical products as all distributors offer all product families to meet the full needs of their clientele.  </w:t>
        <w:br/>
        <w:t xml:space="preserve">14. In contrast, as with the trading of SACHA products, the Authority has identified a distinct market for specialized trading in electrical products7. Indeed, "generalist" wholesalers do not offer an electrical equipment range comparable to that offered by "specialists" in terms of range, price, and advice, even though "generalists" can exert significant competitive pressure on "specialists" regarding the most basic products. Furthermore, professional customers generally source exclusively from "specialist" traders.  </w:t>
        <w:br/>
        <w:t xml:space="preserve">15. The competitive analysis will therefore be conducted in the market for specialized trading in electrical products.  </w:t>
        <w:br/>
        <w:t xml:space="preserve">3 Decision No. 12-DCC-41 and No. 15-DCC-145, cited above.  </w:t>
        <w:br/>
        <w:t xml:space="preserve">4 Decision of the European Commission No. COMP/M.3184, cited above; Letters from the Minister of Economy dated December 24, 2003, to the advisors of the company Point P SA regarding a concentration in the construction materials sector, and dated March 13, 2006, cited above; and decisions of the Authority No. 09-DCC-11, No. 10-DCC-03, and No. 12-DCC-41 cited above.  </w:t>
        <w:br/>
        <w:t xml:space="preserve">5 Decision No. 12-DCC-41 and No. 15-DCC-145, cited above.  </w:t>
        <w:br/>
        <w:t xml:space="preserve">6 Decision of the European Commission No. COMP/M.5029 of February 8, 2008, Sonepar / Rexel Germany; Letter from the Minister of Economy dated May 9, 2003, to the advisors of the company Sonepar cited above; Decisions of the Competition Authority No. 10-DCC-65 of June 29, 2010, regarding the exclusive control of the company C3F by the company Sonepar France, and No. 12-DCC-46 of April 3, 2012, regarding the acquisition of the business assets of the company SCT Toutelectric by the Rexel group.  </w:t>
        <w:br/>
        <w:t>7 Decision No. 12-DCC-46, cited above.</w:t>
      </w:r>
    </w:p>
    <w:p>
      <w:r>
        <w:rPr>
          <w:b/>
        </w:rPr>
        <w:t>[Pages 4–6]</w:t>
      </w:r>
    </w:p>
    <w:p>
      <w:r>
        <w:t>B. GEOGRAPHICAL DELIMITATION</w:t>
      </w:r>
    </w:p>
    <w:p>
      <w:r>
        <w:t>16. Regarding upstream markets, the decisional practice8 considers that the markets for the supply of SACHA products are at least national in scope. There is no reason to challenge this definition within the framework of the present operation.</w:t>
      </w:r>
    </w:p>
    <w:p>
      <w:r>
        <w:t>17. Regarding downstream markets, the Competition Authority has analyzed the markets for trading in SACHA and electrical products both at the local and national levels.</w:t>
      </w:r>
    </w:p>
    <w:p>
      <w:r>
        <w:t>18. At the local level, the decisional practice has established that the distances traveled by consumers of construction materials vary depending on the degree of specialization of the point of sale concerned. In terms of SACHA products, national practice9 has noted that "wholesalers in sanitary-heating delivering the materials to professionals do so within a radius of 40 to 60 kilometers, on the one hand, and that professionals wish for their wholesaler to be no more than half an hour away," thus retaining a departmental dimension. For electrical products, the decisional practice10 has taken into account catchment areas with a radius of 30 kilometers.</w:t>
      </w:r>
    </w:p>
    <w:p>
      <w:r>
        <w:t>19. It has also been observed that the geographical dimension of the markets for specialized distribution of SACHA and electrical products varies due to two main factors. First, the geographical specificities of each catchment area (urban density, mountainous areas, etc.) strongly influence both the location of points of sale and travel times. Secondly, delivery habits must be taken into account. Thus, the actual behavior of consumers in a given area can be specified with data collected by points of sale on the actual location of their customers. It is generally considered that the catchment area of a point of sale can be limited to that which encompasses customers representing 80% of the point of sale's turnover or 80% of the point of sale's customers, depending on the available data11. The remainder is considered as occasional and insignificant clientele, sometimes very distant from the point of sale.</w:t>
      </w:r>
    </w:p>
    <w:p>
      <w:r>
        <w:t>20. In this case, the notifying party was able to identify around each point of sale of Sofinther, a catchment area including the nearest municipalities that capture 80% of the point of sale's turnover.</w:t>
      </w:r>
    </w:p>
    <w:p>
      <w:r>
        <w:t>21. Previous practice has also noted that, regarding specialized trading in SACHA and electrical products, certain elements of the analysis can be examined in a broader context than just the local level12. Indeed, several competitive parameters can be assessed at the national level, notably due to the presence of distribution groups operating throughout the French territory and having a wide coverage of points of sale under a common brand.</w:t>
      </w:r>
    </w:p>
    <w:p>
      <w:r>
        <w:t>22. Consequently, the positions of players in the downstream markets will be examined at the national level, and at the local level according to the methodology outlined above.</w:t>
      </w:r>
    </w:p>
    <w:p>
      <w:r>
        <w:t>III. COMPETITIVE ANALYSIS</w:t>
      </w:r>
    </w:p>
    <w:p>
      <w:r>
        <w:t>A. ANALYSIS OF HORIZONTAL EFFECTS</w:t>
      </w:r>
    </w:p>
    <w:p>
      <w:r>
        <w:t>1. UPSTREAM MARKETS FOR THE SUPPLY OF SACHA PRODUCTS</w:t>
      </w:r>
    </w:p>
    <w:p>
      <w:r>
        <w:t>23. Following the operation, the new entity will hold a share of demand of [0-5]%, regardless of the market segment concerned. Suppliers will have numerous alternative outlets, consisting of the demand from competing specialist traders of the parties, generalist traders, and large DIY stores, as well as direct sales to professionals, which represent more than 30% of manufacturers' sales.</w:t>
      </w:r>
    </w:p>
    <w:p>
      <w:r>
        <w:t>24. Therefore, the operation is not likely to harm competition in the upstream market for the supply of SACHA products through horizontal effects.</w:t>
      </w:r>
    </w:p>
    <w:p>
      <w:r>
        <w:t>2. DOWNSTREAM MARKET FOR SPECIALIZED TRADING IN SACHA PRODUCTS</w:t>
      </w:r>
    </w:p>
    <w:p>
      <w:r>
        <w:t>25. The impact of the operation is examined successively at the national (a) and local (b) levels.</w:t>
      </w:r>
    </w:p>
    <w:p>
      <w:r>
        <w:t>National competitive analysis</w:t>
      </w:r>
    </w:p>
    <w:p>
      <w:r>
        <w:t>26. Following the operation, the new entity will hold a market share of [0-5]% at the national level, far behind the two main market players, namely the Saint-Gobain group ([20-30]%) and Comafranc ([10-20]%).</w:t>
      </w:r>
    </w:p>
    <w:p>
      <w:r>
        <w:t>27. The operation is therefore not likely to harm competition in the specialized trading market for SACHA products through horizontal effects at the national level.</w:t>
      </w:r>
    </w:p>
    <w:p>
      <w:r>
        <w:t>Local competitive analysis</w:t>
      </w:r>
    </w:p>
    <w:p>
      <w:r>
        <w:t>28. At the local level, the parties' activities overlap in 23 areas. In 21 of these areas, the market share of the new entity will not exceed [5-10]%, and the market share increment resulting from the operation will be less than [0-5]%.</w:t>
      </w:r>
    </w:p>
    <w:p>
      <w:r>
        <w:t>29. In the areas around the Sofinther agencies in Le Mans and Chartres, the new entity will have market shares of [10-20]% and [10-20]%, respectively. However, in these two areas, the market share increment resulting from the operation will be less than [0-5]%. The new entity will also face competition from several points of sale of Comafranc and Cédéo (Saint-Gobain group).</w:t>
      </w:r>
    </w:p>
    <w:p>
      <w:r>
        <w:t>30. Therefore, the operation is not likely to harm competition in the specialized trading market for SACHA products through horizontal effects at the local level.</w:t>
      </w:r>
    </w:p>
    <w:p>
      <w:r>
        <w:t>B. ANALYSIS OF CONGLOMERATE EFFECTS</w:t>
      </w:r>
    </w:p>
    <w:p>
      <w:r>
        <w:t>31. A concentration is likely to lead to conglomerate effects when the new entity extends or strengthens its presence in markets that are related to other markets where it holds market power. However, the guidelines of the Competition Authority indicate that it is unlikely for a concentration to pose a risk of conglomerate effect if the new entity does not have a strong position in a market from which it can leverage and refer to a threshold of 30% market share in this regard.</w:t>
      </w:r>
    </w:p>
    <w:p>
      <w:r>
        <w:t>32. In this case, there is a connection between the market for specialized trading in SACHA products, where Sofinther and Rexel are simultaneously active, and the market for trading in electrical products, where Rexel is solely present. In the market for specialized trading in electrical products, Rexel holds a market share of [30-40]% at the national level. The new entity could therefore rely on this strong position to strengthen its position in the market for specialized trading in SACHA products. However, the elements in the file allow for the dismissal of the possibility for the new entity to implement exclusionary behavior through tied sales.</w:t>
      </w:r>
    </w:p>
    <w:p>
      <w:r>
        <w:t>33. It should first be noted that Rexel is already present in the market for specialized trading in SACHA products and that its position in the market for trading in electrical products, which will not be strengthened following the operation, has not allowed it to develop significant market shares in the market for trading in SACHA products. These market shares are indeed below [0-5]% at the national level and in the areas of activity of Sofinther at the local level (except for the area around the Sofinther agency in Brest where Rexel's market share reaches only [5-10]%).</w:t>
      </w:r>
    </w:p>
    <w:p>
      <w:r>
        <w:t>34. Furthermore, the main competing electrical equipment traders of Rexel (Sonepar, Socoda, and CEF) also have a range of SACHA products, allowing them to combine their electrical equipment offers with SACHA products. Similarly, the main players in the distribution of SACHA products (notably Saint-Gobain and Comafranc) also offer electrical equipment and are therefore able to provide combined offers.</w:t>
      </w:r>
    </w:p>
    <w:p>
      <w:r>
        <w:t>35. At the local level, in the catchment areas where the parties' activities overlap, there are in each area at least two competing electrical equipment traders of Rexel with a range of SACHA products and two competing distributors of SACHA products offering electrical equipment as well.</w:t>
      </w:r>
    </w:p>
    <w:p>
      <w:r>
        <w:t>36. Consequently, the operation is not likely to harm competition through conglomerate effects.</w:t>
      </w:r>
    </w:p>
    <w:p>
      <w:r>
        <w:rPr>
          <w:b/>
        </w:rPr>
        <w:t>[Pages 7–7]</w:t>
      </w:r>
    </w:p>
    <w:p>
      <w:r>
        <w:t xml:space="preserve">DECIDES  </w:t>
        <w:br/>
        <w:t xml:space="preserve">Single Article: The notified transaction under number 15-166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