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https://www.autoritedelaconcurrence.fr/fr/decision-de-controle-des-concentrations/relative-la-prise-de-controle-exclusif-de-spl-acquisition</w:t>
      </w:r>
    </w:p>
    <w:p>
      <w:r>
        <w:t>Pages translated : 6</w:t>
      </w:r>
    </w:p>
    <w:p/>
    <w:p>
      <w:r>
        <w:rPr>
          <w:b/>
        </w:rPr>
        <w:t>[Pages 1–3]</w:t>
      </w:r>
    </w:p>
    <w:p>
      <w:r>
        <w:t xml:space="preserve">FRENCH REPUBLIC  </w:t>
        <w:br/>
        <w:t xml:space="preserve">Decision No. 14-DCC-49 of March 31, 2014  </w:t>
        <w:br/>
        <w:t xml:space="preserve">regarding the exclusive control of SPL Acquisition Corp  </w:t>
        <w:br/>
        <w:t>by Shenzhen Hepalink Pharmaceutical Co Ltd</w:t>
      </w:r>
    </w:p>
    <w:p>
      <w:r>
        <w:t xml:space="preserve">The Competition Authority,  </w:t>
        <w:br/>
        <w:t xml:space="preserve">Having regard to the notification file sent to the merger service on February 12, 2014, declared complete on March 12, 2014, regarding the exclusive control of SPL Acquisition Corp. by Shenzhen Hepalink Pharmaceutical Co Ltd, formalized by a share transfer agreement dated December 26, 2013;  </w:t>
        <w:br/>
        <w:t xml:space="preserve">Having regard to Book IV of the Commercial Code relating to the freedom of prices and competition, and in particular its Articles L. 430-1 to L. 430-7;  </w:t>
        <w:br/>
        <w:t xml:space="preserve">Having regard to the additional elements submitted by the parties during the investigation;  </w:t>
        <w:br/>
        <w:t>Adopts the following decision:</w:t>
      </w:r>
    </w:p>
    <w:p>
      <w:r>
        <w:t xml:space="preserve">I. The companies concerned and the operation  </w:t>
        <w:br/>
        <w:t xml:space="preserve">1. Shenzhen Hepalink Pharmaceutical Co. Ltd. (hereinafter "Hepalink") is a Chinese company listed on the Shenzhen Stock Exchange in China, primarily active in the manufacture and distribution of pharmaceutical active ingredients of heparin-based anticoagulants. Hepalink is indirectly controlled by Mr. [X] and Mrs. [Y] who also control the company Shenzhen Techdow Pharmaceuticals Ltd (hereinafter "Techdow") which manufactures and distributes low molecular weight heparin active ingredients (active ingredient of enoxaparin). Techdow primarily sells its products in China, Brazil, Colombia, and Ukraine.  </w:t>
        <w:br/>
        <w:t xml:space="preserve">2. SPL Acquisition Corp. (hereinafter "SPL") is an American company that primarily markets heparin active ingredients as well as pancreatin active ingredients on a marginal basis. SPL is currently controlled by American Capital Ltd and its affiliated funds.  </w:t>
        <w:br/>
        <w:t>3. Under the share transfer agreement dated December 26, 2013, the operation consists of Hepalink acquiring 100% of the shares of SPL. As it results in the exclusive control of SPL by Hepalink, the operation constitutes a concentration within the meaning of Article L. 430-1 of the Commercial Code.</w:t>
      </w:r>
    </w:p>
    <w:p>
      <w:r>
        <w:t>4. The companies concerned together achieve a total worldwide turnover of more than 150 million euros (Hepalink: [...] euros for the fiscal year 2012; SPL: [...] euros for the same period). At least two of these companies achieve a turnover in France exceeding 50 million euros (Hepalink: [...] euros for the fiscal year 2012; SPL: [...] euros for the same period). Given these turnovers,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r>
    </w:p>
    <w:p>
      <w:r>
        <w:t xml:space="preserve">II. Delimitation of the relevant markets  </w:t>
        <w:br/>
        <w:t xml:space="preserve">5. Both parties manufacture crude heparin and sodium heparin used for the manufacture of heparin-based anticoagulants. Hepalink is also active, via Techdow, in the market for low molecular weight heparin active ingredients.  </w:t>
        <w:br/>
        <w:t xml:space="preserve">1. DELIMITATION OF PRODUCT MARKETS  </w:t>
        <w:br/>
        <w:t xml:space="preserve">6. Community and European decision-making practice distinguishes two distinct processes in the manufacture of pharmaceutical products: the manufacture of active ingredients upstream and the manufacture of pharmaceutical products downstream. In this case, the parties are simultaneously active upstream. The Commission considers that each active ingredient potentially constitutes a relevant market by itself but has never had to rule on heparin active ingredients.  </w:t>
        <w:br/>
        <w:t xml:space="preserve">7. The raw material source for the manufacture of heparin is generally derived from the intestinal tissues of pigs. The manufacturing process consists of extracting heparin from the mucosa of the small intestine of a healthy pig and transforming it into an intermediate form, crude heparin. This must be transformed into a pharmaceutical active ingredient of heparin, which is presented in the form of sodium salt (sodium heparin) or, more rarely, calcium salt (calcium heparin). Sodium heparin is obtained through a process of dissolving, purifying, and drying crude heparin. The notifying party estimates that 22 days are needed to transform crude heparin into sodium heparin. Sodium heparin can serve as a base for the preparation of finished unfractionated heparin products or be transformed back into an active ingredient for low molecular weight heparins (active ingredient of enoxaparin or dalteparin) which will be used as a preparation base for finished low molecular weight heparin products. Unfractionated heparins and low molecular weight heparins can be directly applied in chemical treatments, but low molecular weight heparins are used more extensively.  </w:t>
        <w:br/>
        <w:t xml:space="preserve">8. The notifying party considers that crude heparin and sodium heparin constitute a single market. It argues that on the demand side, both types of heparin have a similar end use, namely the production of unfractionated heparin and low molecular weight heparin preparations, and that crude heparin and sodium heparin are therefore substitutable for companies producing finished heparin-based products. On the supply side, the notifying party notes that all major market players are able to produce both crude heparin and sodium heparin and that they can easily reallocate volumes from one product to another at the request of a customer.  </w:t>
        <w:br/>
        <w:t xml:space="preserve">9. The investigation revealed that while crude heparin and sodium heparin have a similar end destination, they are not necessarily substitutable for all companies producing finished heparin-based products. Indeed, it is true that a large number of laboratories purchase both crude heparin and sodium heparin and that they transform crude heparin into sodium heparin themselves. However, companies that sell generic versions of heparin anticoagulants only purchase sodium heparin, as it is not cost-effective for such companies to invest in the equipment and techniques necessary to transform crude heparin into sodium heparin. On the supply side, the investigation confirmed that manufacturers producing both crude heparin and sodium heparin were reallocating volumes of one or the other based on customer demand. However, there are some players who only manufacture crude heparin. In addition to technical requirements, these operators must meet regulatory requirements if they wish to manufacture sodium heparin. Indeed, to import crude and sodium heparin into the European Union, suppliers must comply with the standards established by good manufacturing practices for medicines. To import sodium heparin, producers must also have the CEP certificate issued by the European Directorate for the Quality of Medicines and Healthcare (EDQM). The process of obtaining the CEP takes between 12 and 24 months. A similar procedure is in place with the Food and Drug Administration to be authorized to import sodium heparin into the United States.  </w:t>
        <w:br/>
        <w:t xml:space="preserve">10. However, it is not necessary to resolve this issue in this case, as the conclusions of the competitive analysis remain unchanged. The operation will be analyzed both on a single market encompassing crude heparin and sodium heparin as well as on each of the segments of crude heparin and sodium heparin. The operation will also be analyzed in the market for low molecular weight heparin active ingredients in terms of vertical effects.  </w:t>
        <w:br/>
        <w:t xml:space="preserve">2. DELIMITATION OF GEOGRAPHICAL MARKETS  </w:t>
        <w:br/>
        <w:t>11. Regarding pharmaceutical active ingredients, decision-making practice consistently indicates that the geographical dimension of the markets for pharmaceutical active ingredients is certainly broader than that of pharmaceutical products, likely of a global size.</w:t>
      </w:r>
    </w:p>
    <w:p>
      <w:r>
        <w:rPr>
          <w:b/>
        </w:rPr>
        <w:t>[Pages 4–6]</w:t>
      </w:r>
    </w:p>
    <w:p>
      <w:r>
        <w:t xml:space="preserve">12. In this case, the analysis of the operation will be conducted on a global level.  </w:t>
        <w:br/>
        <w:t xml:space="preserve">III. Competitive Analysis  </w:t>
        <w:br/>
        <w:t xml:space="preserve">A. HORIZONTAL EFFECTS  </w:t>
        <w:br/>
        <w:t xml:space="preserve">13. The parties have not been able to assess the market shares of their competitors with certainty, as no quantified data is available according to them, except for Chinese exports which are published by customs. Consequently, the market shares have been calculated (i) from Chinese customs data for Chinese companies, these data only including figures related to heparin exports, (ii) figures provided by certain operators within the framework of the market test, (iii) the parties' estimates. In some cases, the breakdown between crude heparin and sodium heparin could not be performed. As a result, the position of the parties in these two segments is necessarily overestimated.  </w:t>
        <w:br/>
        <w:t xml:space="preserve">2012 Global Market Crude Heparin Sodium Heparin  </w:t>
        <w:br/>
        <w:t xml:space="preserve">Hepalink China [10-20] % [30-40] % [5-10] %  </w:t>
        <w:br/>
        <w:t xml:space="preserve">SPL US [5-10] % [5-10] % [10-20] %  </w:t>
        <w:br/>
        <w:t xml:space="preserve">Parties [20-30] % [30-40] % [10-20] %  </w:t>
        <w:br/>
        <w:t xml:space="preserve">Nanjing China [10-20] % [20-30] % [5-10] %  </w:t>
        <w:br/>
        <w:t xml:space="preserve">Aspen US [5-10] % [0-5] % [10-20] %  </w:t>
        <w:br/>
        <w:t xml:space="preserve">Bioiberica CEE [5-10] % [0-5] % [10-20] %  </w:t>
        <w:br/>
        <w:t xml:space="preserve">Changzhou China [5-10] % [0-5] % [10-20] %  </w:t>
        <w:br/>
        <w:t xml:space="preserve">LEO* CEE [0-5] % N/C N/C  </w:t>
        <w:br/>
        <w:t xml:space="preserve">Yantai China [0-5] % [0-5] % [5-10] %  </w:t>
        <w:br/>
        <w:t xml:space="preserve">Nantpharm US [0-5] % [10-20] % [0-5] %  </w:t>
        <w:br/>
        <w:t xml:space="preserve">Huai'An China [0-5] % [5-10] % [0-5] %  </w:t>
        <w:br/>
        <w:t xml:space="preserve">Zhejiang China [0-5] % [5-10] % [0-5] %  </w:t>
        <w:br/>
        <w:t xml:space="preserve">LDO CEE [0-5] % [0-5] % [5-10] %  </w:t>
        <w:br/>
        <w:t xml:space="preserve">Opocrin CEE [0-5] % [0-5] % [5-10] %  </w:t>
        <w:br/>
        <w:t xml:space="preserve">CKW* CEE [0-5] % N/C N/C  </w:t>
        <w:br/>
        <w:t xml:space="preserve">Pharma Action* CEE [0-5] % N/C N/C  </w:t>
        <w:br/>
        <w:t xml:space="preserve">Hebei China [0-5] % [0-5] % [0-5] %  </w:t>
        <w:br/>
        <w:t xml:space="preserve">Sichuan China [0-5] % [0-5] % [0-5] %  </w:t>
        <w:br/>
        <w:t xml:space="preserve">Qingdao China [0-5] % [0-5] % [0-5] %  </w:t>
        <w:br/>
        <w:t xml:space="preserve">Jiangsu China [0-5] % [0-5] % [0-5] %  </w:t>
        <w:br/>
        <w:t xml:space="preserve">Biofer CEE [0-5] % [0-5] % [0-5] %  </w:t>
        <w:br/>
        <w:t xml:space="preserve">Others [10-20] % [5-10] % [0-5] %  </w:t>
        <w:br/>
        <w:t xml:space="preserve">*The breakdown of sales between crude heparin and sodium heparin could not be performed for these operators.  </w:t>
        <w:br/>
        <w:t xml:space="preserve">14. In the global market for crude heparin and sodium heparin, the market share of the new entity will be [20-30] % ([10-20] % for Hepalink and [5-10] % for SPL). It will face significant competitors such as Nanjing King Friends ([10-20] %), Bioiberica ([5-10] %), Aspen ([5-10] %) as well as a large number of smaller competitors.  </w:t>
        <w:br/>
        <w:t xml:space="preserve">15. In the sodium heparin segment, the new entity will hold [10-20] % market share ([5-10] % for Hepalink and [10-20] % for SPL). It will face competitors holding a significant position such as Bioiberica ([10-20] %), Aspen ([10-20] %), Changzhou ([10-20] %) and Nanjing King Friends ([5-10] %).  </w:t>
        <w:br/>
        <w:t xml:space="preserve">16. In the crude heparin segment, the market share of the new entity will be [30-40] % ([30-40] % for Hepalink, [5-10] % for SPL). It will face Nanjing King Friends ([20-30] %), Nantpharm ([10-20] %), Huai'An ([5-10] %), Zhejiang ([5-10] %) and Aspen ([0-5] %).  </w:t>
        <w:br/>
        <w:t xml:space="preserve">17. The position of the parties must be put into perspective as Hepalink sells all of its crude heparin production to [confidential]. Thus, Hepalink's choice to market such a volume of crude heparin is a strategic choice that mainly depends on the business relationships it maintains with [confidential], which represents […] % of its turnover.  </w:t>
        <w:br/>
        <w:t xml:space="preserve">18. Furthermore, the market features a large number of players, some of whom have significant production capacities. In addition, several Chinese competitors such as Changzhou Quianhong, Hebei Changshan, and Yantai Dongshen are considering doubling or even tripling their sodium heparin production capacities. At the European level, Bioiberica has announced that it will also increase its production capacities for crude heparin and sodium heparin. Tönnies and Pharma Action, who have just formed a joint venture aimed at producing crude heparin, have announced the opening of a factory in mid-2014 that would be capable of processing more than 30 % of the raw material used in Europe for the manufacture of heparin. In any case, suppliers, producing both crude heparin and sodium heparin, are able to shift part of their sodium heparin production to crude heparin by foregoing the processing of crude heparin. As a result, competitors have the capacity to react, allowing them to exert significant competitive pressure on the activities of the parties.  </w:t>
        <w:br/>
        <w:t xml:space="preserve">19. Therefore, the operation is not likely to harm competition through horizontal effects.  </w:t>
        <w:br/>
        <w:t xml:space="preserve">B. VERTICAL EFFECTS  </w:t>
        <w:br/>
        <w:t xml:space="preserve">20. Hepalink is active, via Techdow, in the market for low molecular weight heparin active ingredient (enoxaparin), which is downstream of the markets for crude heparin and sodium heparin.  </w:t>
        <w:br/>
        <w:t xml:space="preserve">21. The notifying party estimates that Techdow's market share in the enoxaparin market is [0-5] %. Given this very marginal position in the market, a customer lock-in scenario is unlikely. An input lock-in scenario is also not credible given the market share of the new entity in the sodium heparin market and even in the crude heparin market considering the arguments developed in paragraphs 16 and following above. Furthermore, the parties indicated that neither SPL nor Hepalink supplied sodium heparin to Techdow's competitors and that all Chinese competitors producing enoxaparin active ingredient also produced sodium heparin. Regarding American and European competitors, as demonstrated above, there are a large number of players likely to supply heparin to enoxaparin manufacturers.  </w:t>
        <w:br/>
        <w:t xml:space="preserve">22. As a result, the operation is not likely to harm competition through vertical effects.  </w:t>
        <w:br/>
        <w:t xml:space="preserve">DECIDES  </w:t>
        <w:br/>
        <w:t xml:space="preserve">Single Article: The operation notified under number 14-001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