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https://www.autoritedelaconcurrence.fr/fr/decision-de-controle-des-concentrations/relative-la-prise-de-controle-exclusif-de-suez-rv-osis-par</w:t>
      </w:r>
    </w:p>
    <w:p>
      <w:r>
        <w:t>Pages translated : 22</w:t>
      </w:r>
    </w:p>
    <w:p/>
    <w:p>
      <w:r>
        <w:rPr>
          <w:b/>
        </w:rPr>
        <w:t>[Pages 1–3]</w:t>
      </w:r>
    </w:p>
    <w:p>
      <w:r>
        <w:t xml:space="preserve">FRENCH REPUBLIC  </w:t>
        <w:br/>
        <w:t xml:space="preserve">Decision No. 21-DCC-71 of April 28, 2021  </w:t>
        <w:br/>
        <w:t xml:space="preserve">regarding the exclusive control of Suez RV Osis by the Société d’Assainissement Rationnel et de Pompage  </w:t>
        <w:br/>
        <w:t xml:space="preserve">The Competition Authority,  </w:t>
        <w:br/>
        <w:t xml:space="preserve">Having regard to the notification file submitted in full to the merger service on March 9, 2021, regarding the exclusive control of Suez RV Osis by the Société d’Assainissement Rationnel et de Pompage, formalized by a share transfer agreement dated November 27, 2020;  </w:t>
        <w:br/>
        <w:t xml:space="preserve">Having regard to Book IV of the Commercial Code relating to the freedom of prices and competition, and in particular its Articles L. 430-1 to L. 430-7;  </w:t>
        <w:br/>
        <w:t xml:space="preserve">Having regard to the commitments submitted on March 30, 2021, and last modified on April 22, 2021, by the notifying party;  </w:t>
        <w:br/>
        <w:t xml:space="preserve">Having regard to the additional elements transmitted by the notifying party during the investigation;  </w:t>
        <w:br/>
        <w:t xml:space="preserve">Having regard to the other documents in the file;  </w:t>
        <w:br/>
        <w:t>Adopts the following decision:</w:t>
      </w:r>
    </w:p>
    <w:p>
      <w:r>
        <w:t xml:space="preserve">Summary1  </w:t>
        <w:br/>
        <w:t xml:space="preserve">On March 9, 2021, the company SARP notified the Competition Authority of the acquisition of the company Suez RV Osis. The parties are active in the cleaning sectors and, more specifically, in the maintenance of sanitation networks and structures, waste collection, industrial maintenance, building hygiene, and inspection of sanitation networks.  </w:t>
        <w:br/>
        <w:t xml:space="preserve">During the examination of this operation, the Competition Authority considered new markets: the markets for maintenance services of sanitation networks and structures, building hygiene, and inspection of sanitation networks. These markets were analyzed as distinct markets.  </w:t>
        <w:br/>
        <w:t xml:space="preserve">The Competition Authority assessed the effects of the operation on the structure of these markets and conducted an examination of the risks of reducing competition at the national level, as well as at the local level.  </w:t>
        <w:br/>
        <w:t xml:space="preserve">As part of the investigation, the Authority questioned the clients and competitors of the parties in the sector of maintenance services for sanitation networks and structures.  </w:t>
        <w:br/>
        <w:t xml:space="preserve">At the end of its investigation, the Competition Authority noted that the market shares of the new entity remained below 25% in the markets for the collection of hazardous waste, mechanical engineering, and inspection of networks. It therefore ruled out any competitive risk in these markets.  </w:t>
        <w:br/>
        <w:t xml:space="preserve">Regarding activities related to building hygiene, the market share of the new entity is [20-30]% in Île-de-France. The market shares range between [20-30]% and [30-40]% in six departments in a potential segment related to the maintenance of building columns. In this market, however, the Authority was able to rule out any risk of anti-competitive effects as the new entity will still face numerous local competitors, with the services concerned presenting a low level of technicality.  </w:t>
        <w:br/>
        <w:t xml:space="preserve">Concerning cleaning markets, the Competition Authority noted that the market shares of the new entity remained below 25% at the national level. This finding also applies to the urban cleaning market. At the regional level, in the technical industrial cleaning market, the market share of the new entity will be below 25%, except in the Île-de-France region, where it will be [30-40]%. Nevertheless, the Authority was able to rule out any risk of anti-competitive effects, as the new entity will still face numerous competitors after the operation. Regarding classic industrial cleaning, the market share of the new entity will be below 25% at the regional level.  </w:t>
        <w:br/>
        <w:t xml:space="preserve">Finally, concerning the market for maintenance services for sanitation networks and structures, the Competition Authority noted that, in this market, the market share of the new entity will be [10-20]% in France, and will remain below 25% regionally, except for the Île-de-France region where it will be [30-40]%. More specifically, in a potential segment related to the maintenance of public sanitation networks and structures, the Authority noted that the market share of the new entity will be [50-60]% at the end of the operation in the Île-de-France region.  </w:t>
        <w:br/>
        <w:t xml:space="preserve">To remedy the identified risks to competition by the Authority in this segment, SARP has committed to divest eight agencies dedicated to this activity, belonging to the target and located mainly in Île-de-France. These divestitures will bring the market share of the new entity in this segment down to [30-40]%, eliminating any risk of harm to competition through unilateral effects. Indeed, following these divestitures, the new entity will face competitors who can, like it, respond to calls for tenders from local authorities and provide an alternative solution for contracting entities.  </w:t>
        <w:br/>
        <w:t xml:space="preserve">By virtue of the decision below, the Authority therefore authorizes, subject to the fulfillment of divestiture commitments, the exclusive control of the company Suez RV Osis by SARP.  </w:t>
        <w:br/>
        <w:t xml:space="preserve">1 This summary is strictly informative. Only the reasons for the decision numbered below are authoritative.  </w:t>
        <w:br/>
        <w:t>2</w:t>
      </w:r>
    </w:p>
    <w:p>
      <w:r>
        <w:rPr>
          <w:b/>
        </w:rPr>
        <w:t>[Pages 4–6]</w:t>
      </w:r>
    </w:p>
    <w:p>
      <w:r>
        <w:t xml:space="preserve">I. The Companies Concerned and the Operation  </w:t>
        <w:br/>
        <w:t xml:space="preserve">A. THE PARTIES  </w:t>
        <w:br/>
        <w:t xml:space="preserve">1. The Société d’Assainissement Rationnel et de Pompage (hereinafter, "SARP" or "the notifying party") is a 99.7% subsidiary of Veolia Propreté, itself a 100% subsidiary of Veolia Environnement, the ultimate parent company of the Veolia group. The Veolia group is globally active in water, waste, and energy management services for public authorities and businesses. SARP is a service provider, primarily in the maintenance of sanitation networks and structures, industrial maintenance, and industrial cleaning in France.  </w:t>
        <w:br/>
        <w:t xml:space="preserve">2. Suez RV OSIS (hereinafter, "OSIS") is wholly owned by the Suez group (hereinafter, "Suez" or "the seller") which is listed on Euronext Paris, through Suez RV France. OSIS is a service provider primarily active in the sectors of maintenance of sanitation networks and structures and industrial cleaning in France. OSIS also offers services in (i) waste collection, (ii) mechanical industrial maintenance, (iii) building hygiene, (iv) airport runway maintenance, and (v) dense recharging of chemical reactors. OSIS concentrates almost all of its activities in France and only engages in limited activities in Belgium, Italy, and Luxembourg.  </w:t>
        <w:br/>
        <w:t xml:space="preserve">B. THE OPERATION  </w:t>
        <w:br/>
        <w:t xml:space="preserve">3. On November 27, 2020, the parties signed a share transfer agreement under which SARP commits to acquire the shares of OSIS from Suez RV France. Following the operation, SARP will hold all of the capital and voting rights of OSIS.  </w:t>
        <w:br/>
        <w:t xml:space="preserve">4. As it results in the exclusive control of OSIS by SARP, the notified operation constitutes a concentration within the meaning of Article L. 430-1 of the Commercial Code.  </w:t>
        <w:br/>
        <w:t xml:space="preserve">5. This operation falls under the jurisdiction of the European Union pursuant to Article 1 of Council Regulation (EC) No. 139/2004 on concentrations. Indeed, the companies concerned together achieve a total worldwide turnover of more than 5 billion euros (Veolia group: [&gt; 150] million euros for the financial year ending December 31, 2019; OSIS: [&gt; 150] million euros for the same financial year). Each of these companies has achieved a turnover in the European Union exceeding 250 million euros (Veolia: [&gt; 150] million euros for the financial year ending December 31, 2019; OSIS: [&gt; 150] million euros for the same financial year). Finally, only OSIS has generated more than two-thirds of its turnover in the European Union in a single Member State, France ([&gt; 50] million euros for the same financial year).  </w:t>
        <w:br/>
        <w:t xml:space="preserve">6. On January 6, 2021, SARP notified the European Commission of a request for partial referral of the operation to the Competition Authority, pursuant to Article 4, paragraph 4 of the aforementioned Council Regulation (EC) No. 139/2004, which states that "before the notification of a concentration within the meaning of paragraph 1, the persons or companies referred to in paragraph 2 may inform the Commission, by means of a reasoned submission, that the concentration risks significantly affecting competition in a market within a Member State that has all the characteristics of a distinct market and that it must therefore be examined, in whole or in part, by that Member State." By a decision of February 5, 2021, the European Commission considered that the conditions for referral to the Authority were met. The operation is therefore subject, pursuant to IV of Article L. 430-2 of the Commercial Code, to French control of concentrations.  </w:t>
        <w:br/>
        <w:t xml:space="preserve">II. Delimitation of Relevant Markets  </w:t>
        <w:br/>
        <w:t xml:space="preserve">7. The parties primarily offer (A) cleaning services, and more specifically maintenance of sanitation networks and structures, and secondarily (B) hazardous waste collection2 and (C) industrial maintenance services. Furthermore, the parties simultaneously provide services related to (D) building hygiene and (E) inspection of sanitation networks.  </w:t>
        <w:br/>
        <w:t xml:space="preserve">A. CLEANING AND MAINTENANCE OF SANITATION NETWORKS AND STRUCTURES  </w:t>
        <w:br/>
        <w:t xml:space="preserve">8. The parties are active in the cleaning market, notably urban and industrial (1). In particular, the parties carry out services related to the maintenance of sanitation networks and structures (2) which can be considered separately from cleaning activities. The Authority therefore questioned the existence of a market specific to maintenance services for sanitation networks and structures.  </w:t>
        <w:br/>
        <w:t xml:space="preserve">1. CLEANING MARKETS  </w:t>
        <w:br/>
        <w:t xml:space="preserve">a) SERVICE MARKETS  </w:t>
        <w:br/>
        <w:t xml:space="preserve">9. The European Commission has had the opportunity to segment the cleaning sector, distinguishing3 urban cleaning from industrial cleaning. Urban cleaning mainly consists of cleaning public infrastructures and urban sanitation networks (cleaning or dredging) under contracts with local authorities4. Industrial cleaning encompasses the cleaning of professional premises (administrative, commercial), industrial facilities, production tools, machines, or tanks.  </w:t>
        <w:br/>
        <w:t xml:space="preserve">2 In addition to this activity, the parties also engage, as a secondary activity, in the collection of ordinary business waste, as part of their sanitation activities (cleaning markets). This activity being carried out almost exclusively as a secondary activity, the market for the collection of ordinary business waste will not be presented.  </w:t>
        <w:br/>
        <w:t xml:space="preserve">3 See in particular the decisions of the European Commission COMP/M.1059 of December 19, 1997, Suez Lyonnaise des Eaux/BFI, COMP/M.5464 of July 30, 2009 Veolia Eau/Société des Eaux de Marseille/Société des Eaux d'Arles/Société Stephanoise des Eaux, paragraph 35; and the decision of the Competition Authority No. 14-DCC-108 of August 4, 2014 regarding the exclusive control of Esterra by Veolia Propreté.  </w:t>
        <w:br/>
        <w:t xml:space="preserve">4 See the aforementioned decision M.1059.  </w:t>
        <w:br/>
        <w:t xml:space="preserve">10. National decision-making practice also considers a segmentation between urban cleaning and industrial cleaning, while leaving the market delimitation open5.  </w:t>
        <w:br/>
        <w:t xml:space="preserve">11. National decision-making practice considers that industrial cleaning services should be distinguished from other services to businesses6. These services include "industrial cleaning services for all types of businesses (industrial, tertiary) and for all types of surfaces to be cleaned (premises, factories, etc.)"7.  </w:t>
        <w:br/>
        <w:t xml:space="preserve">12. Decision-making practice8 has considered retaining a distinction within the industrial cleaning market between cleaning services for "professional premises for administrative or commercial purposes" ("classic cleaning") and those "consisting of cleaning industrial facilities, production tools, machines, and tanks" ("technical or specific cleaning"). However, the question of the existence of such a distinction has been left open.  </w:t>
        <w:br/>
        <w:t xml:space="preserve">13. Within technical cleaning services, decision-making practice has identified a distinct market for cleaning services in hospital environments that concern the cleaning of operating rooms, medicalized rooms, instruments, and machines. This definition is based in particular on specific requirements for this sector, notably in terms of hygiene, personnel qualification, and equipment9.  </w:t>
        <w:br/>
        <w:t xml:space="preserve">14. In the case at hand, the question of the exact definition of cleaning markets can be left open insofar as, regardless of the segmentation retained, the conclusions of the competitive analysis remain unchanged.  </w:t>
        <w:br/>
        <w:t xml:space="preserve">b) GEOGRAPHIC MARKETS  </w:t>
        <w:br/>
        <w:t xml:space="preserve">15. The European Commission has so far considered in its decision-making practice that cleaning markets are of national dimension10.  </w:t>
        <w:br/>
        <w:t xml:space="preserve">16. National decision-making practice analyzes the urban cleaning market at the national level, which should not be called into question in this case11.  </w:t>
        <w:br/>
        <w:t xml:space="preserve">17. National decision-making practice12 considers that industrial cleaning markets are at most of national dimension and, more likely, of local dimension. Furthermore, the Île-de-France region has been examined as a specific relevant geographic market13.  </w:t>
        <w:br/>
        <w:t xml:space="preserve">5 See the aforementioned decision No. 14-DCC-108.  </w:t>
        <w:br/>
        <w:t xml:space="preserve">6 See in particular the decisions of the Competition Authority No. 12-DCC-68 of May 23, 2012 regarding the acquisition of SAS Ansamble by the Elior group, No. 12-DCC-108 of July 30, 2012 regarding the exclusive control of the TEP group by the Samsic group, and No. 17-DCC-77 of June 2, 2017 regarding the exclusive control of Facilicom Services Group France by La Financière Atalian.  </w:t>
        <w:br/>
        <w:t xml:space="preserve">7 See in particular the letter from Minister C2008-88 of September 11, 2008 to the advisors of the Samsic company regarding a concentration in the industrial cleaning sector; and the decisions of the Competition Authority No. 12-DCC-68, No. 12-DCC-108, and No. 17-DCC-77 mentioned above.  </w:t>
        <w:br/>
        <w:t xml:space="preserve">8 See decision No. 13-DCC-88 regarding the exclusive control of Carrard Services by TFN Propret and decision No. 17-DCC-77 mentioned above.  </w:t>
        <w:br/>
        <w:t xml:space="preserve">9 See the decision of the Competition Authority No. 10-DCC-76 of July 9, 2010 regarding the control of Sin &amp; Stes by the Elior group and decision No. 17-DCC-77 mentioned above.  </w:t>
        <w:br/>
        <w:t xml:space="preserve">10 See the aforementioned decision M.5464.  </w:t>
        <w:br/>
        <w:t xml:space="preserve">11 See the aforementioned decision No. 14-DCC-108.  </w:t>
        <w:br/>
        <w:t xml:space="preserve">12 See the decisions of the Authority No. 10-DCC-76, No. 13-DCC-88, and No. 17-DCC-77 mentioned above. Note that, in decision No. 10-DCC-76, the competitive analysis was conducted solely at the national and regional level, following the statements of the applicants, confirmed by the respondents in the market test, that the relevant local dimension is not at the departmental level. Indeed, the regional level allows operators to provide sufficient proximity to clients who are sensitive to such a criterion.  </w:t>
        <w:br/>
        <w:t>13 See the decisions No. 10-DCC-76, No. 12-DCC-108, No. 13-DCC-88, and No. 17-DCC-77 mentioned above.</w:t>
      </w:r>
    </w:p>
    <w:p>
      <w:r>
        <w:rPr>
          <w:b/>
        </w:rPr>
        <w:t>[Pages 7–9]</w:t>
      </w:r>
    </w:p>
    <w:p>
      <w:r>
        <w:t xml:space="preserve">18. The notifying party believes that the industrial cleaning market is of national dimension, as the needs of industrialists would be sufficiently significant and technical to allow teams to be deployed well beyond a region, both for itself and for its competitors. It also notes that a significant portion of the activity of the parties' agencies results from services performed outside their departments of establishment.  </w:t>
        <w:br/>
        <w:t xml:space="preserve">19. In this case, the question of the exact delineation of the markets can be left open insofar as, regardless of the delineation retained, the conclusions of the competitive analysis remain unchanged. The analysis will be conducted at the national level for urban cleaning, and at both the national and regional levels for industrial cleaning.  </w:t>
        <w:br/>
        <w:t xml:space="preserve">2. MAINTENANCE OF SANITATION NETWORKS AND STRUCTURES  </w:t>
        <w:br/>
        <w:t xml:space="preserve">a) SERVICE MARKETS  </w:t>
        <w:br/>
        <w:t xml:space="preserve">20. In the cleaning sector, the parties are primarily active in the maintenance services of sanitation networks and structures. These services mainly consist of the maintenance of sanitation structures (sewer networks, pipelines, basins, tanks, septic tanks, and all-water pits), through services such as cleaning, emptying, pumping, and high-pressure cleaning. These services are aimed at public authorities, businesses, or individuals and constitute the core business of the parties.  </w:t>
        <w:br/>
        <w:t xml:space="preserve">21. However, according to the notifying party's analysis, this maintenance activity for sanitation networks and structures is distinct from that related to the cleaning of public infrastructures. Indeed, the cleaning activities of sanitation networks require personnel with different training from those related to the cleaning of public infrastructures. Furthermore, the notifying party specifies that "the operators are not necessarily the same from one market to another; in this regard, specialists in cleaning public infrastructures such as Samsic or Korrigan do not offer or offer very few sanitation network cleaning services; conversely, most players in sanitation maintenance do not offer or offer very few urban cleaning services; within the Veolia group, SARP is specialized in sanitation maintenance and industrial cleaning, and does not provide street cleaning services."  </w:t>
        <w:br/>
        <w:t xml:space="preserve">22. Thus, in a conservative approach, the notifying party identifies a market for the maintenance of sanitation structures and networks, which can be segmented according to the type of clientele or network (collective, business, or individual), as the method of contracting differs from one client to another (public tenders for public clientele, private tenders and negotiated contracts for businesses, and contracts for individuals).  </w:t>
        <w:br/>
        <w:t xml:space="preserve">23. The existence of a distinct market concerning the maintenance of sanitation structures and networks is confirmed by market tests conducted during the investigation with the competitors and clients of the parties.  </w:t>
        <w:br/>
        <w:t xml:space="preserve">24. Indeed, they identified certain specificities inherent to the maintenance activities of sanitation networks and structures. In particular, the employees of operators offering this type of service must have specific authorizations and training (e.g., the CATEC)14. Operators also require specific equipment, such as sewer cleaning trucks15. Thus, the operator Sapian indicates that the services related to cleaning, maintenance, and upkeep of sanitation structures and networks require "significant investments (equipment, training, trucks, and specially equipped vehicles). Consequently, there is a selection of operators based on these technical aspects and also [on] their ability to respond to emergencies."  </w:t>
        <w:br/>
        <w:t xml:space="preserve">25. The majority of competitors interviewed also identify, for these maintenance services of sanitation networks and structures, specificities related to the clientele concerned (public, businesses, or individuals)16. Thus, according to some competitors, there would be a difference, from the perspective of services, depending on the type of network (public or private) and its size.  </w:t>
        <w:br/>
        <w:t xml:space="preserve">26. Finally, according to the majority of competitors and clients interviewed, operators offering maintenance services for sanitation networks and structures are likely to offer other services systematically related to these, notably waste collection. This occurs following operations such as pumping or cleaning of networks, in order to recover residues, as these activities generate waste.  </w:t>
        <w:br/>
        <w:t xml:space="preserve">27. Given all these elements, there appear to be significant differences between the activity of cleaning public infrastructures and that of maintaining sanitation networks and structures, justifying the consideration of a distinct market for the maintenance of sanitation networks and structures, which can be segmented based on the type of clientele (public, businesses, or individuals).  </w:t>
        <w:br/>
        <w:t xml:space="preserve">28. Furthermore, within the market for the maintenance of public sanitation networks and structures, the notifying party identifies a specific activity related to visitable sewers, exercised solely by the target. It emerges from the elements communicated by SARP that visitable sewers are characterized by deep networks (approximately 10 meters) with a significant flow, located almost entirely in the Paris region. Interventions on these specific networks require different skills and techniques from the maintenance of conventional networks and structures: operators present on these types of networks are either composed of internal teams from the network manager who have dedicated personnel and specific equipment, or third-party providers (public works companies and divers in hazardous environments). Therefore, according to the notifying party, the maintenance of visitable sewers would fall under a distinct market from that of the maintenance of sanitation networks and structures.  </w:t>
        <w:br/>
        <w:t xml:space="preserve">29. In this case, from a conservative perspective, the Authority will conduct an analysis of the effects of the operation on the potential narrowest market for the maintenance of sanitation networks and structures, segmented by type of clientele (public, private, individual). The activity of maintaining visitable sewers will also be considered a distinct activity from that of maintaining sanitation networks and structures. Since SARP does not practically have any activity in this area, such a market would only be concerned in a purely non-horizontal manner17.  </w:t>
        <w:br/>
        <w:t xml:space="preserve">15 Sewer cleaning trucks are vehicles generally composed of a carrying chassis on which there is a water tank and a high-pressure pump, used in the field of sanitation, particularly for cleaning networks and for unblocking.  </w:t>
        <w:br/>
        <w:t xml:space="preserve">16 These specificities are notably related to contracting, as interventions on public networks are formalized by tenders organized by various types of public clients, such as local authorities, while those with businesses may take the form of private tenders, possibly referencing with framework contracts or negotiated contracts. Regarding interventions with individuals, the use of negotiated contracts is preferred.  </w:t>
        <w:br/>
        <w:t xml:space="preserve">17 The notifying party indicates that SARP does not have the equipment and qualifications to carry out the routine maintenance of visitable sewer networks. SARP may only be called upon to perform a few occasional maintenance operations on visitable sewers that do not fall under the tenders related to visitable sewers as they do not require specific equipment.  </w:t>
        <w:br/>
        <w:t xml:space="preserve">b) GEOGRAPHIC MARKETS  </w:t>
        <w:br/>
        <w:t xml:space="preserve">30. Regarding a potential market for the maintenance of sanitation networks and structures, the notifying party conducted an analysis at both the national and local levels. Indeed, it specifies that (i) most services are performed by sewer cleaning trucks whose range of action does not exceed the geographic perimeter of a region18, particularly due to the cost and time of transport. Furthermore, (ii) some players in the maintenance markets for sanitation networks and structures are, to its knowledge, not active on a national scale, but only in one or more regions. Finally, (iii) calls for tenders in the field of maintenance of collective sanitation networks and structures in France would systematically come from local authorities covering a territory equal to or less than that of a region.  </w:t>
        <w:br/>
        <w:t xml:space="preserve">31. The competitors interviewed also identify constraints that may reduce their intervention area to a local perimeter, such as the range of action of sewer cleaning trucks, the location of depots, and the mobility of the personnel involved.  </w:t>
        <w:br/>
        <w:t xml:space="preserve">32. In this case, the question of the exact delineation of the markets can be left open. In a conservative approach, and by analogy with the cleaning markets, the analysis of the effects of the operation on the different segments of the market for the maintenance of sanitation networks and structures will be conducted at both the national and regional levels.  </w:t>
        <w:br/>
        <w:t xml:space="preserve">B. MARKETS FOR THE COLLECTION OF HAZARDOUS WASTE  </w:t>
        <w:br/>
        <w:t xml:space="preserve">1. SERVICE MARKETS  </w:t>
        <w:br/>
        <w:t xml:space="preserve">33. Decision-making practice considers that there are as many service markets as there are major types of waste: hazardous waste or special industrial waste (hereinafter "DIS"), non-hazardous waste or ordinary waste, and specific waste19.  </w:t>
        <w:br/>
        <w:t xml:space="preserve">34. Hazardous waste20 is waste containing, in varying quantities, toxic or dangerous elements, of organic nature (solvents, hydrocarbons) or mineral (acids, surface treatment baths, foundry sands, metallic hydroxide sludges). Under national law, waste is considered hazardous if it presents one or more of the properties listed in Annex III of Directive 2008/98/EC of the European Parliament and of the Council of November 19, 2008, on waste, to which Article R. 541-8 of the Environmental Code refers: explosive, oxidizing, flammable, irritating, harmful, toxic, carcinogenic, corrosive, infectious, toxic for reproduction, mutagenic, ecotoxic.  </w:t>
        <w:br/>
        <w:t xml:space="preserve">18 According to the notifying party, the range of action of a sewer cleaning truck varies depending on whether it operates in urban or rural areas. On average, outside Île-de-France, the notifying party's agencies carry out interventions in […] departments for the potential collective segment, […] departments for the potential business segment, and […] departments for the potential individual segment.  </w:t>
        <w:br/>
        <w:t xml:space="preserve">19 See notably the decisions of the European Commission n°IV/M.295 of March 19, 1993, SITA-RPC/SCORI, n°IV/M.916 of June 5, 1997, Lyonnaise des Eaux, and n° IV/M.1059 of December 19, 1997, Suez Lyonnaise des Eaux / BFI; the letter from Minister C2007-168, of January 23, 2008, to the advisors of Veolia Propreté SA, regarding a concentration in the waste management and treatment sector; the decisions of the Competition Authority n°10-DCC-114 of September 10, 2010, regarding the exclusive control of ISS Environnement by Paprec France, n° 16-DCC-158 of October 28, 2016, regarding the exclusive control of Bartin Recycling by Derichebourg SA, n° 17-DCC-40 of March 29, 2017, regarding the exclusive control of Coved by Paprec Group, and n° 17-DCC-209 of December 21, 2017, regarding the creation of a joint venture by La Poste and Suez RV France.  </w:t>
        <w:br/>
        <w:t>20 See the aforementioned letter from Minister C2007-168, and decisions n° 10-DCC-114 and n° 13-DCC-44 of April 4, 2013, regarding the creation of a joint venture by SNN and Recycling Invest.</w:t>
      </w:r>
    </w:p>
    <w:p>
      <w:r>
        <w:rPr>
          <w:b/>
        </w:rPr>
        <w:t>[Pages 10–12]</w:t>
      </w:r>
    </w:p>
    <w:p>
      <w:r>
        <w:t xml:space="preserve">35. National and European decision-making practice considers that the collection of these waste materials is likely to form a distinct market, insofar as this service must be performed by specialized companies, from their place of production to their disposal or recovery site. Indeed, hazardous waste cannot be deposited in treatment or transit facilities receiving other categories of waste.  </w:t>
        <w:br/>
        <w:t xml:space="preserve">36. In this case, both parties are active in the collection of hazardous waste.  </w:t>
        <w:br/>
        <w:t xml:space="preserve">2. GEOGRAPHIC MARKETS  </w:t>
        <w:br/>
        <w:t xml:space="preserve">37. National and European competition authorities have recognized a national dimension for the market of hazardous waste collection21.  </w:t>
        <w:br/>
        <w:t xml:space="preserve">38. There is no reason to challenge this market definition in this case.  </w:t>
        <w:br/>
        <w:t xml:space="preserve">C. MARKETS FOR MECHANICAL ENGINEERING  </w:t>
        <w:br/>
        <w:t xml:space="preserve">1. SERVICE MARKETS  </w:t>
        <w:br/>
        <w:t xml:space="preserve">39. Mechanical engineering work includes activities related to the control and automation of industrial processes (instrumentation, first-level automation, control systems, supervision systems, computer networks), activities related to industrialization, assembly, integration, transfer, and dismantling of industrial facilities, operational activities, management of scheduled technical shutdowns, maintenance, as well as renovation and modification activities of industrial processes22.  </w:t>
        <w:br/>
        <w:t xml:space="preserve">40. The European Commission and the Authority have considered that mechanical engineering services could be segmented based on (i) the type of work (installation or maintenance) and (ii) the type of clientele (residential or non-residential, with a further segmentation of the non-residential sector into tertiary, infrastructure, and industry)23.  </w:t>
        <w:br/>
        <w:t xml:space="preserve">41. Thus, decision-making practice recognizes the existence of a market for "installation and maintenance work in mechanical engineering in the industrial sector"24. According to the notifying party, this market encompasses maintenance services for tools and the management of scheduled technical shutdowns. These services consist of the inspection and repair of installations, industrial infrastructures, equipment, and machines (lifting, assembly, cleaning, testing and requalification of devices, repairs, replacement of parts, boiler-making, decontamination, etc.) to restore all or part of their usability and/or operational efficiency.  </w:t>
        <w:br/>
        <w:t xml:space="preserve">42. In this case, the parties are primarily active in the market for mechanical engineering maintenance work for clients in the industrial sector and marginally for clients in the infrastructure sector. In this case, the question of the exact delineation of the markets can be left open, with the conclusions of the analysis remaining unchanged regardless of the segmentation adopted.  </w:t>
        <w:br/>
        <w:t xml:space="preserve">2. GEOGRAPHIC MARKETS  </w:t>
        <w:br/>
        <w:t xml:space="preserve">43. Competition authorities believe that engineering markets should be examined at the subnational level25. Regarding mechanical engineering, the competitive analysis has been conducted at both the national and regional levels.  </w:t>
        <w:br/>
        <w:t xml:space="preserve">44. In this case, there is no reason to challenge this market definition, with the conclusions of the analysis remaining unchanged, regardless of the geographic delineation adopted.  </w:t>
        <w:br/>
        <w:t xml:space="preserve">D. BUILDING HYGIENE  </w:t>
        <w:br/>
        <w:t xml:space="preserve">1. SERVICE MARKETS  </w:t>
        <w:br/>
        <w:t xml:space="preserve">45. The parties simultaneously offer building hygiene services, including several activities such as (i) pest control, (ii) air hygiene, and (iii) maintenance of columns in buildings.  </w:t>
        <w:br/>
        <w:t xml:space="preserve">46. The notifying party believes that these three activities could be analyzed by considering a potential single market for building hygiene, which has not yet been contemplated by decision-making practice.  </w:t>
        <w:br/>
        <w:t xml:space="preserve">47. Within these activities, decision-making practice has already identified a market for pest control services26. This market includes rat control, insect control, and disinfection services for residences, catering businesses, and industrial companies.  </w:t>
        <w:br/>
        <w:t xml:space="preserve">48. According to the notifying party, air hygiene services consist of cleaning and degreasing kitchen exhaust hoods in restaurants as well as cleaning and disinfecting air conditioning and heating systems in buildings. Column maintenance services consist of cleaning (descaling and unblocking) the vertical part of the sanitation column network using a rotating hydrodynamic nozzle.  </w:t>
        <w:br/>
        <w:t xml:space="preserve">49. In any case, in this instance, the existence of a building hygiene market comprising distinct segments related, respectively, to pest control, air hygiene, and column maintenance can be left open, with the conclusions of the analysis remaining unchanged, regardless of the segmentation adopted.  </w:t>
        <w:br/>
        <w:t xml:space="preserve">2. GEOGRAPHIC MARKETS  </w:t>
        <w:br/>
        <w:t xml:space="preserve">50. The notifying party relies on the geographic market for pest control services to define the geographic dimension of the potential building hygiene market.  </w:t>
        <w:br/>
        <w:t xml:space="preserve">51. Decision-making practice27 has recognized a national and departmental dimension for pest control service markets, except for the Île-de-France region, which has been examined as a specific relevant geographic market.  </w:t>
        <w:br/>
        <w:t xml:space="preserve">52. In this case, the exact definition of the building hygiene market can be left open, with the conclusions of the analysis remaining unchanged, regardless of the geographic delineation adopted.  </w:t>
        <w:br/>
        <w:t xml:space="preserve">E. INSPECTION OF SANITATION NETWORKS  </w:t>
        <w:br/>
        <w:t xml:space="preserve">1. SERVICE MARKETS  </w:t>
        <w:br/>
        <w:t xml:space="preserve">53. The parties simultaneously offer services related to the inspection of sanitation networks. These services essentially consist of (i) conducting a television inspection using an endoscopic camera, (ii) performing geo-detection of networks, and (iii) conducting compaction and leak tests on existing and new networks.  </w:t>
        <w:br/>
        <w:t xml:space="preserve">54. According to the notifying party, these services are notably used to carry out a preliminary diagnosis before work on a section of the sanitation network and during the acceptance of said work. These services would also allow for geo-referencing of sanitation networks, in accordance with the obligation imposed on local authorities to map their networks by 2026 in urban areas and by 2030 in rural areas. According to the notifying party, such services would be offered by players in the sanitation sector as well as by companies in the construction sector.  </w:t>
        <w:br/>
        <w:t xml:space="preserve">55. In this case, there is no need to resolve the question of the existence of a market for the inspection of sanitation networks, with the competitive analysis remaining unchanged, regardless of the conclusion reached.  </w:t>
        <w:br/>
        <w:t xml:space="preserve">2. GEOGRAPHIC MARKETS  </w:t>
        <w:br/>
        <w:t xml:space="preserve">56. The notifying party considers that the potential market for network inspection is of national, or even regional, dimension, similar to those for the maintenance of sanitation networks and structures.  </w:t>
        <w:br/>
        <w:t xml:space="preserve">57. In this case, the exact definition of the market for inspection work can be left open, with the conclusions of the analysis remaining unchanged, regardless of the segmentation adopted.  </w:t>
        <w:br/>
        <w:t>27 See decision 12-DCC-108 cited above.</w:t>
      </w:r>
    </w:p>
    <w:p>
      <w:r>
        <w:rPr>
          <w:b/>
        </w:rPr>
        <w:t>[Pages 13–15]</w:t>
      </w:r>
    </w:p>
    <w:p>
      <w:r>
        <w:t xml:space="preserve">III. Competitive Analysis  </w:t>
        <w:br/>
        <w:t xml:space="preserve">58. The operation results in the horizontal concentration of the parties' activities in the markets for cleaning, maintenance of sanitation networks and structures, collection of hazardous waste, industrial maintenance, building hygiene, and inspection of networks (A). Given the links between the various concerned activities, it is necessary to assess whether the operation is also likely to lead to conglomerate effects (B).  </w:t>
        <w:br/>
        <w:t xml:space="preserve">A. ANALYSIS OF HORIZONTAL EFFECTS  </w:t>
        <w:br/>
        <w:t xml:space="preserve">1. THE CLEANING MARKETS  </w:t>
        <w:br/>
        <w:t xml:space="preserve">59. The activities of the parties overlap in the urban cleaning and industrial cleaning markets.  </w:t>
        <w:br/>
        <w:t xml:space="preserve">60. At the national level, the market share of the new entity in the urban cleaning market will be [10-20]%.  </w:t>
        <w:br/>
        <w:t xml:space="preserve">61. At the national level, the market share of the new entity will be [5-10]% in the conventional industrial cleaning market and [10-20]% in the technical industrial cleaning market.  </w:t>
        <w:br/>
        <w:t xml:space="preserve">62. At the regional level, the market share of the new entity in the conventional industrial cleaning market will be less than 25%, regardless of the region considered.  </w:t>
        <w:br/>
        <w:t xml:space="preserve">63. Regarding the technical industrial cleaning, the market share of the new entity will remain below 25%, regardless of the region considered, except for the Île-de-France region where the new entity will hold [30-40]% market share, with an increase of [5-10] points. In this region, the new entity will continue to face competition from national and regional operators such as Ortec, Oriad, SNAD, and Maillot.  </w:t>
        <w:br/>
        <w:t xml:space="preserve">64. Therefore, the operation is not likely to harm competition through horizontal effects in the urban and industrial cleaning markets.  </w:t>
        <w:br/>
        <w:t xml:space="preserve">2. MAINTENANCE OF SANITATION NETWORKS AND STRUCTURES  </w:t>
        <w:br/>
        <w:t xml:space="preserve">a) Analysis Method  </w:t>
        <w:br/>
        <w:t xml:space="preserve">65. The potential market for the maintenance of sanitation networks and structures largely operates through public or private tenders, depending on the networks concerned.  </w:t>
        <w:br/>
        <w:t xml:space="preserve">66. According to the guidelines, "the nature of the existing relationships between suppliers and buyers is likely to influence the market power of the new entity, making the examined market more or less fluid. Thus, the number of transactions in which the new entity is involved, the negotiation terms of these contracts (tenders or negotiated agreements), the frequency of contract renewals, the exclusivity or selectivity of the networks in which the products concerned by the operation are distributed, or the duration of the contracts are all relevant elements to enable the Authority to assess the effects of a concentration."28  </w:t>
        <w:br/>
        <w:t xml:space="preserve">67. National decision-making practice has notably noted that, in the particular case of markets operating through tenders, taking market shares into account for the purposes of competitive analysis may prove to be irrelevant or insufficient to assess the effects of the operation.29 In particular, the Authority considers that a high market share does not necessarily reflect significant market power when the tender mechanism in question presents all the following characteristics: (i) only one buyer wins the entirety of the contract for which there is competition, (ii) the size of the contract must be significant and represent a substantial stake for the companies participating in the tender, (iii) in the tender, the probability of success must be independent of the results of past tenders launched for the network in question, or for other networks; (iv) there are no barriers to entry into the market.  </w:t>
        <w:br/>
        <w:t xml:space="preserve">68. However, in this case, the tender mechanism organized in the sanitation sector does not present such characteristics. In particular, it appears from the elements provided by the notifying party that, in the sector of maintenance of sanitation networks and structures, both public and private tenders organized by local authorities and companies are of relatively short duration. Generally, they result in a contract lasting one year, renewable three times on average for public tenders, and a contract with an average duration of two to three years for private tenders. Specifically regarding public tenders, there are many. The notifying party estimates that nearly a hundred tenders have been organized on average each year from 2017 to 2019. Moreover, these tenders are often of relatively modest amounts, with a median value estimated by the notifying party at 160,000 euros.30  </w:t>
        <w:br/>
        <w:t xml:space="preserve">69. The majority of competitors and clients surveyed in the market test confirmed that the tenders won are of short duration, with relatively low amounts.  </w:t>
        <w:br/>
        <w:t xml:space="preserve">70. Thus, in this case, there is no reason to question the relevance of market share as an indicator of the market power of the various competing operators in the potential market for the maintenance of sanitation networks and structures.  </w:t>
        <w:br/>
        <w:t xml:space="preserve">b) Analysis  </w:t>
        <w:br/>
        <w:t xml:space="preserve">71. At the national level, the market share of the new entity in a potential market for the maintenance of sanitation networks and structures and its potential segments will be less than 20%.  </w:t>
        <w:br/>
        <w:t xml:space="preserve">72. At the regional level, concerning a potential market for the maintenance of sanitation networks and structures, without segmentation by type of clientele, the market share of the new entity would be less than 25%, regardless of the region, except in Île-de-France, where it would be [30-40]% with an increase in market share of [10-20] points. The new entity will continue to face competition from several national and regional operators such as Ortec, Colas, Terideal, Sanet, Asur, and Sapian.  </w:t>
        <w:br/>
        <w:t xml:space="preserve">73. Regarding a segment aimed at businesses, the market share of the new entity would be less than 25%, regardless of the region considered, except for the Centre-Val-de-Loire region where it would be [20-30]%. The new entity will continue to face competition from several operators, national or regional, such as Ortec, Valvert Assainissement, and Sarc.  </w:t>
        <w:br/>
        <w:t xml:space="preserve">74. In a segment aimed at individuals, the market share of the new entity would remain below 25%, regardless of the region considered.  </w:t>
        <w:br/>
        <w:t xml:space="preserve">75. Finally, considering a segment aimed at local authorities, the market share of the new entity would be less than or equal to 25%, regardless of the region considered, except for the Île-de-France region where it would be [50-60]%.  </w:t>
        <w:br/>
        <w:t xml:space="preserve">76. In this region, the operation will thus lead to the disappearance of a significant operator, which held a market share of over 15%. Such a reduction in competition is all the more problematic in this case as, in Île-de-France, few operators can bid for certain tenders. This observation is corroborated by the market test conducted with competitors and clients of the parties located in Île-de-France, particularly local authorities, who indicate that the operation creates a competition problem in this region. Clients have notably reported a risk of price increases, due to the lack of possibility to switch to alternative competitors.  </w:t>
        <w:br/>
        <w:t xml:space="preserve">77. During the market test conducted during the investigation, some operators also reported a strengthening of the position of the new entity in other regions concerning the maintenance of sanitation networks and structures. Additional market tests were therefore conducted in the concerned regions, namely, Normandy, Hauts-de-France, Centre-Val-de-Loire, Auvergne-Rhône-Alpes, and Provence-Alpes-Côte d’Azur, with regional competitors of the parties. It appears from these market tests and the information provided by the notifying party that, in the concerned regions, the new entity will face competition from competing operators, of national or regional size, and that its market shares will remain relatively limited. In any case, the majority of competitors surveyed do not identify a risk of price increases in the maintenance activities of sanitation networks and structures and consider themselves a credible alternative to the parties in these regions.  </w:t>
        <w:br/>
        <w:t xml:space="preserve">78. In light of these elements, the operation would be likely to pose a risk of harm to competition in the Île-de-France region in the potential market for the maintenance of public sanitation networks and structures. Nevertheless, SARP has presented commitments, analyzed in section IV of this decision, to remedy the identified risk of harm to competition.  </w:t>
        <w:br/>
        <w:t xml:space="preserve">3. THE MARKET FOR THE COLLECTION OF HAZARDOUS WASTE  </w:t>
        <w:br/>
        <w:t xml:space="preserve">79. At the national level, the market share of the new entity in the hazardous waste collection market will be [10-20]% with an increase in market share of [0-5] points.  </w:t>
        <w:br/>
        <w:t>80. Therefore, the operation is not likely to harm competition in this market through horizontal effects.</w:t>
      </w:r>
    </w:p>
    <w:p>
      <w:r>
        <w:rPr>
          <w:b/>
        </w:rPr>
        <w:t>[Pages 16–18]</w:t>
      </w:r>
    </w:p>
    <w:p>
      <w:r>
        <w:t xml:space="preserve">4. THE MARKETS OF MECHANICAL ENGINEERING  </w:t>
        <w:br/>
        <w:t xml:space="preserve">81. At the national level, the market share of the new entity in the various segments of the mechanical engineering market will be [0-5]% at the national level and will remain below [5-10]% at the regional level.  </w:t>
        <w:br/>
        <w:t xml:space="preserve">82. The operation is therefore not likely to harm competition in these markets through horizontal effects.  </w:t>
        <w:br/>
        <w:t xml:space="preserve">5. BUILDING HYGIENE  </w:t>
        <w:br/>
        <w:t xml:space="preserve">83. At the national level, the market share of the new entity in a potential building hygiene market would be [5-10]% and would remain below 10% at the regional level, regardless of the region considered.  </w:t>
        <w:br/>
        <w:t xml:space="preserve">84. Regarding the pest control hygiene market, the market share of the new entity will be [0-5]% at the national level, below 5% at the regional level, and below 25% at the departmental level.  </w:t>
        <w:br/>
        <w:t xml:space="preserve">85. Concerning a potential segment related to air hygiene, the market share of the new entity would be [0-5]% at the national level, below 5% at the regional level, and below 25% at the departmental level.  </w:t>
        <w:br/>
        <w:t xml:space="preserve">86. Finally, concerning a potential segment related to column maintenance, the market share of the new entity would be [10-20]% at the national level and between 5% and 25% at the regional level, except in Île-de-France ([20-30]%) with an increase in market share of [0-5] points. At the departmental level, the market share of the new entity would be between [20-30]% and [30-40]% in six departments: Eure (27), Indre (36)31, Loir-et-Cher (41), Seine-Maritime (76), Deux-Sèvres (79), and Vienne (86).  </w:t>
        <w:br/>
        <w:t xml:space="preserve">87. However, it appears from the information provided by the notifying party that the potential segment of column maintenance corresponds to services of a low level of technicality, with a modest average amount in euros (less than 500 euros), and accessible to plumbing companies. Furthermore, the equipment and capital investment required to operate in this market are extremely low.  </w:t>
        <w:br/>
        <w:t xml:space="preserve">88. The operation is therefore not likely to harm competition in the potential building hygiene markets through horizontal effects.  </w:t>
        <w:br/>
        <w:t xml:space="preserve">6. NETWORK INSPECTION  </w:t>
        <w:br/>
        <w:t xml:space="preserve">89. At the national level, the market share of the new entity in a potential network inspection market would be [10-20]% at the national level and would remain below 25% at the regional level.  </w:t>
        <w:br/>
        <w:t xml:space="preserve">90. The operation is therefore not likely to harm competition in this potential market through horizontal effects.  </w:t>
        <w:br/>
        <w:t>31 In this department, the increase in market shares resulting from the operation is, however, less than [0-5] points.</w:t>
      </w:r>
    </w:p>
    <w:p>
      <w:r>
        <w:t xml:space="preserve">B. ANALYSIS OF CONGLOMERATE EFFECTS  </w:t>
        <w:br/>
        <w:t xml:space="preserve">91. In the event that visitable sewers are considered a distinct market from the maintenance of sanitation networks and structures, it is necessary to consider the existence of potential conglomerate effects between these two activities, as the target is present in this activity in addition to the maintenance of sanitation networks and structures, in which the notifying party is active.  </w:t>
        <w:br/>
        <w:t xml:space="preserve">92. Such a link can, however, be ruled out. Indeed, the tenders related to work on visitable sewers and those related to the maintenance of sanitation networks and structures are distinct. This is particularly due to the budgets allocated to such work. According to the notifying party, the cost of maintaining visitable networks is charged to investment envelopes, given the amounts involved. In contrast, the maintenance of traditional sanitation networks falls under the operating budget of local authorities.  </w:t>
        <w:br/>
        <w:t xml:space="preserve">93. In any case, the new entity would have a market share of less than 10% in a potential market for visitable sewers. In the market for the maintenance of collective sanitation networks and structures, given the structural commitments proposed by the parties, this market share will rise to [30-40]%. Furthermore, the new entity will face competition from operators who also operate in these two activities (Sanet and Terideal).  </w:t>
        <w:br/>
        <w:t xml:space="preserve">94. The operation is therefore not likely to harm competition in the markets concerned through conglomerate effects.  </w:t>
        <w:br/>
        <w:t xml:space="preserve">IV. Commitments  </w:t>
        <w:br/>
        <w:t xml:space="preserve">95. In order to eliminate any risk of significant harm to competition that may result from this operation in the markets for the maintenance of sanitation networks and structures in the Île-de-France region, the notifying party submitted, on March 30, 2021, an initial proposal for commitments. The content of these commitments was examined by the Authority and was subjected to a market test. Following this market test, the notifying party presented a final version of its proposal for commitments on April 22, 2021. It is in this last version that they are presented below.  </w:t>
        <w:br/>
        <w:t xml:space="preserve">96. After outlining the rules and principles guiding the Authority in its assessment (A), the subscribed corrective measures will be examined (B).  </w:t>
        <w:br/>
        <w:t xml:space="preserve">97. The full text of these commitments, attached in the annex, is an integral part of this decision.  </w:t>
        <w:br/>
        <w:t xml:space="preserve">A. PRINCIPLES OF ASSESSMENT AND LEGAL FRAMEWORK  </w:t>
        <w:br/>
        <w:t xml:space="preserve">98. The measures intended to remedy the harms to competition resulting from the notified operation must comply with the general criteria defined by decision-making practice and case law, in order to be deemed capable of ensuring sufficient competition.  </w:t>
        <w:br/>
        <w:t xml:space="preserve">99. As specified in the Authority's guidelines on the control of concentrations, these measures must be effective and fully remedy the identified harms to competition. To this end, their implementation must not raise any doubts, which implies that they must be drafted with sufficient precision and that the operational modalities for their realization must be sufficiently detailed. Their implementation must also be swift, as competition is not preserved as long as they are not realized. They must also be controllable. Finally, the Authority must ensure that the corrective measures are proportionate, as they are not intended to increase the level of competition that existed in a market prior to the concentration operation32.  </w:t>
        <w:br/>
        <w:t xml:space="preserve">100. Furthermore, in order to remedy the harms resulting from a horizontal concentration operation, the Authority generally seeks structural measures as a priority, which aim to ensure competitive market structures through divestitures of activities or certain assets to an appropriate acquirer capable of exerting real competition, or the elimination of capital links between competitors33.  </w:t>
        <w:br/>
        <w:t xml:space="preserve">101. In this case, the commitments subscribed consist solely of structural measures.  </w:t>
        <w:br/>
        <w:t xml:space="preserve">102. Structural commitments, i.e., divestitures of activities, can effectively remedy harms to competition if the divested activities are viable and competitive. To this end, the scope of these activities must include all relevant assets and all personnel necessary for their proper functioning34. Moreover, a divestiture of activities is only effective if the acquirer is appropriate, meaning that they are independent of the parties, possess the skills and capacity to develop the relevant activities and effectively compete with the parties, and that the acquisition is not likely to create new harms to competition35.  </w:t>
        <w:br/>
        <w:t xml:space="preserve">B. ASSESSMENT OF THE PROPOSED COMMITMENTS  </w:t>
        <w:br/>
        <w:t xml:space="preserve">103. The proposed commitments examined below correspond to the final version submitted by the notifying party on April 22, 2021. The text of the commitments, attached in the annex, is an integral part of this decision.  </w:t>
        <w:br/>
        <w:t xml:space="preserve">1. PROPOSED COMMITMENTS  </w:t>
        <w:br/>
        <w:t xml:space="preserve">104. The commitments proposed by the notifying party concern structural measures.  </w:t>
        <w:br/>
        <w:t>105. These measures consist of the divestiture of the relevant assets of eight service centers of the target, located in Oise (60), Seine-et-Marne (77), Yvelines (78), Essonne (91), and Seine-Saint-Denis (93) and which fall under the managerial agency Suez RV Osis IDF Collectivités, including (i) all tangible and intangible fixed assets related to the service centers, (ii) licenses, permits, and authorizations issued by the bodies and administrations benefiting the agencies, (iii) contracts, leases, commitments, and ongoing customer orders in the context of the operation of the agencies, (iv) contracts,</w:t>
      </w:r>
    </w:p>
    <w:p>
      <w:r>
        <w:rPr>
          <w:b/>
        </w:rPr>
        <w:t>[Pages 19–21]</w:t>
      </w:r>
    </w:p>
    <w:p>
      <w:r>
        <w:t xml:space="preserve">rights and obligations related to all employed personnel. The notifying party envisions that this transfer could be made in favor of a single buyer (global transfer) or several buyers.  </w:t>
        <w:br/>
        <w:t xml:space="preserve">106. The agencies concerned by the commitments are as follows:  </w:t>
        <w:br/>
        <w:t xml:space="preserve">Service Center Address Department  </w:t>
        <w:br/>
        <w:t xml:space="preserve">Roissy-en-Brie 1 rue Denis Papin, 77 680 Roissy-en-Brie 77  </w:t>
        <w:br/>
        <w:t xml:space="preserve">Vert-Saint-Denis 600 avenue de l’Europe, 77 240 Vert-Saint-Denis 77  </w:t>
        <w:br/>
        <w:t xml:space="preserve">Bouafle 532 route de Flins, 78 410 Bouafle 78  </w:t>
        <w:br/>
        <w:t xml:space="preserve">Le Plessis-Pâté 3 rue Léonard de Vinci, 91 220 Le Plessis Pâté 91  </w:t>
        <w:br/>
        <w:t xml:space="preserve">Montgeron (agency 98 avenue Jean Jaurès, 91 230 Montgeron 91  </w:t>
        <w:br/>
        <w:t xml:space="preserve">sanitation)  </w:t>
        <w:br/>
        <w:t xml:space="preserve">Sainte-Geneviève- 2 rue de la Sablière, 91 700 Sainte-Geneviève-des- 91  </w:t>
        <w:br/>
        <w:t xml:space="preserve">des-Bois Bois  </w:t>
        <w:br/>
        <w:t xml:space="preserve">Neuilly-sur-Marne 14 rue Louis Ampère, 93 330 Neuilly-sur-Marne 93  </w:t>
        <w:br/>
        <w:t xml:space="preserve">Les Ageux 201 rue Patrick Simiand, 60 700 Les Ageux 60  </w:t>
        <w:br/>
        <w:t xml:space="preserve">107. Given the legal constraints that may arise from the transfer of contracts related to the maintenance of collective sanitation networks and structures in Île-de-France linked to the agencies, the transfer of said contracts being subject to the approval of the co-contractors, SARP commits to making its best efforts to enable such transfer.  </w:t>
        <w:br/>
        <w:t xml:space="preserve">108. In the event that certain commercial contracts are not transferable, particularly due to the refusal of the local authority to proceed with the transfer of said contracts, […]. If such transfer is also refused by the clients of the new entity involved, the notifying party commits to offering the concerned local authority related to the OSIS contract the right to terminate, without penalty or compensation, the contract for which the transfer was initially refused. Thus, commercial contracts cannot be automatically transferred to SARP in the event of refusal by the co-contracting local authority to transfer said contracts to the buyer(s).  </w:t>
        <w:br/>
        <w:t xml:space="preserve">109. SARP commits to implementing these commitments within a maximum period of […] months from the notification of this decision. The transfers will be carried out for the benefit of one or more buyers who must be approved by the Authority.  </w:t>
        <w:br/>
        <w:t xml:space="preserve">110. The notifying party commits to appointing a representative whose mission will be to ensure the proper execution of all the commitments made. A representative in charge of the transfer will also be designated in the event of non-fulfillment of the commitments.  </w:t>
        <w:br/>
        <w:t xml:space="preserve">2. THE APPROPRIATENESS OF THE PROPOSED COMMITMENTS  </w:t>
        <w:br/>
        <w:t xml:space="preserve">111. The transfer of these agencies results in a decrease in the market share of the new entity in Île-de-France. Thus, following the transfer of these agencies, the market share of the new entity in the Île-de-France region will be [30-40]% in the potential segment of the public sanitation networks and structures maintenance market, with an increase in market share related to the operation of [0-5] points. Given this situation, the new entity will not occupy a predominant position in the area. It will face other operators, particularly the buyer(s) of the agencies, who will have been previously approved by the Authority. All competitors will retain the capacity to exert sufficient competitive pressure, particularly towards the new entity, which will only benefit from a very limited market share increase (less than 2 points compared to SARP's market share).  </w:t>
        <w:br/>
        <w:t xml:space="preserve">112. The Authority tested the commitments for the transfer of the agencies submitted by SARP. This market test, conducted in April 2021 with the main competitors and clients of the parties, confirmed the relevance of the structural commitments, and the majority of respondents deemed that the scope of the transfer was sufficient to eliminate the identified risks.  </w:t>
        <w:br/>
        <w:t xml:space="preserve">113. Some respondents indicated that the new entity could still, in the context of a response to a tender, form a consortium with the buyer(s). In this case, SARP could already form such a consortium prior to the operation. However, the operation only results in a very limited increase in market share for the new entity, which is not sufficient to enhance its attractiveness to the point that it could become an essential partner in a consortium. Therefore, there is no need, in this case, to reduce the new entity's opportunities to respond to tenders in consortium with the buyer of the assets.  </w:t>
        <w:br/>
        <w:t xml:space="preserve">114. Furthermore, the respondents to the market test provided divergent responses regarding the relevance of the acquisition of the assets by a single operator, or conversely by several operators. Some noted that an acquisition by a single operator could excessively strengthen a competitor in the area. Conversely, others argued that an acquisition by several operators could compromise the agencies' ability to respond to public tenders, due to a lack of necessary skills, particularly logistical and administrative. It should be noted, however, that when assessing the relevance of a buyer during its approval, under the "required buyer's requirements," the Authority ensures that the acquisition does not raise any competition issues. It also ensures that the buyer has the "financial resources, [the] confirmed adequate skills, [the] necessary motivation to preserve and develop in a viable manner the capacity of the divested assets to compete actively with SARP and its subsidiaries." Consequently, the two risks raised by the respondents to the market test regarding the acquisition by a single operator or, conversely, by several operators, are well covered by the commitments proposed by the notifying party.  </w:t>
        <w:br/>
        <w:t xml:space="preserve">115. Moreover, some competitors expressed a risk that the contracts linked to the agencies would not be transferred, such a transfer being subject to the agreement of the co-contractor. To address this risk, the notifying party committed to making its best efforts to ensure that the contracts related to the maintenance of collective sanitation networks and structures are effectively transferred. Furthermore, the latest version of the commitments proposed by the parties includes a specific mechanism whereby, in the event that one of the contracts is not transferable, particularly due to the refusal of a public local authority client to transfer a contract, the notifying party must substitute the non-transferred contract with one or more of its contracts, concluded with another client, of equivalent value. If such transfer is also refused by the clients of the new entity involved, the notifying party commits to offering the concerned local authority related to the OSIS contract the right to terminate, without penalty or compensation, the contract for which the transfer was initially refused. Such a commitment allows, if the right of termination is exercised, to avoid the automatic transfer of the contract to the benefit of the new entity.  </w:t>
        <w:br/>
        <w:t xml:space="preserve">116. This mechanism ensures the maintenance of the value of the divested assets, as contracts constitute an essential element of the value of the agencies. It should be noted that these provisions are in addition to the general rules applicable to public contracts, recalled in the explanatory notice related to public contracts, according to which, when prior consent from the public local authority is required in the event of contract transfer, it can only be refused if the buyer lacks the required capabilities to execute the contract. However, in this case, as previously indicated, among the required buyer's requirements under the commitments is the fact that they have the financial capabilities and adequate skills to take over the assets and operate them effectively. The combination of these regulatory provisions and the commitments thus makes it unlikely that a refusal of contract transfer by public local authorities will occur and guarantees the maintenance of the value of the assets covered by the commitments.  </w:t>
        <w:br/>
        <w:t xml:space="preserve">117. The implementation of these commitments is subject to adherence to a short deadline. These remedies are accompanied by the designation of a representative in charge of monitoring the commitments. In the event that the commitments are not fulfilled during the first transfer period, a representative in charge of the transfer will be designated. The latter will be able to proceed with the transfer of the assets covered by the commitment, without any constraints on their sale price. This arrangement is a guarantee of their effectiveness and credibility.  </w:t>
        <w:br/>
        <w:t>118. Considering all these elements, the Authority believes that the commitments proposed by the notifying party are sufficient to eliminate the competitive harm resulting from the operation in a potential market for the maintenance of public sanitation networks and structures.</w:t>
      </w:r>
    </w:p>
    <w:p>
      <w:r>
        <w:rPr>
          <w:b/>
        </w:rPr>
        <w:t>[Pages 22–22]</w:t>
      </w:r>
    </w:p>
    <w:p>
      <w:r>
        <w:t xml:space="preserve">DECIDES  </w:t>
        <w:br/>
        <w:t xml:space="preserve">Sole Article: The operation notified under number 20-246 is authorized subject to the commitments described above and attached to this decision.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