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https://www.autoritedelaconcurrence.fr/fr/decision-de-controle-des-concentrations/relative-la-prise-de-controle-exclusif-de-thales-raytheon</w:t>
      </w:r>
    </w:p>
    <w:p>
      <w:r>
        <w:t>Pages translated : 5</w:t>
      </w:r>
    </w:p>
    <w:p/>
    <w:p>
      <w:r>
        <w:rPr>
          <w:b/>
        </w:rPr>
        <w:t>[Pages 1–3]</w:t>
      </w:r>
    </w:p>
    <w:p>
      <w:r>
        <w:t xml:space="preserve">FRENCH REPUBLIC  </w:t>
        <w:br/>
        <w:t xml:space="preserve">Decision No. 16-DCC-98 of June 28, 2016  </w:t>
        <w:br/>
        <w:t xml:space="preserve">regarding the exclusive control of  </w:t>
        <w:br/>
        <w:t>Thales-Raytheon Systems by Thales</w:t>
      </w:r>
    </w:p>
    <w:p>
      <w:r>
        <w:t xml:space="preserve">The Competition Authority,  </w:t>
        <w:br/>
        <w:t xml:space="preserve">Having regard to the notification file sent to the merger service on May 25, 2016, regarding the exclusive control of Thales-Raytheon Systems Company SAS by Thales, formalized by a transfer contract and a restructuring agreement dated May 24,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Thales, the parent company of the Thales group, is active in the sectors of satellites and associated subsystems, aeronautical equipment for civil and military aircraft, air defense systems, military communication systems, and maritime security systems and equipment. Thales is jointly controlled by the French State (which holds 25.97% of its capital and 36.04% of the voting rights) and the Dassault group (24.9% of the capital and 28.67% of the voting rights)1.  </w:t>
        <w:br/>
        <w:t xml:space="preserve">2. Thales-Raytheon Systems Company SAS (hereinafter, "TRS") is a company jointly controlled by the Thales group and Raytheon2. TRS is active in the sectors of command and control systems for air operations, on the one hand, and command and control systems for battlefield operations, on the other hand.  </w:t>
        <w:br/>
        <w:t xml:space="preserve">1 See the European Commission decision No. COMP/M.5426 of March 10, 2009.  </w:t>
        <w:br/>
        <w:t>2 See the European Commission decision No. COMP/M.2079 of March 30, 2001.</w:t>
      </w:r>
    </w:p>
    <w:p>
      <w:r>
        <w:t xml:space="preserve">3. Under the terms of a transfer contract and a restructuring agreement dated May 24, 2016, Thales will acquire all the shares of TRS. As it results in the exclusive control of TRS by Thales, the notified operation constitutes a concentration within the meaning of Article L. 430-1 of the Commercial Code.  </w:t>
        <w:br/>
        <w:t>4. The companies concerned together achieve a total worldwide turnover excluding tax of more than 150 million euros (Thales: 14 billion euros for the fiscal year ending December 31, 2015; TRS: 290 million euros for the same fiscal year). Each of these companies has achieved a turnover in France exceeding 50 million euros (Thales: 3.3 billion euros for the fiscal year ending December 31, 2015; TRS: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parties are both present in the military communication equipment production sector. TRS is active in the markets for AO/C2 radars and centers ("air operations command and control") as well as in those for radars and centers related to the battlefield.  </w:t>
        <w:br/>
        <w:t>6. The Thales group, for its part, is active in the counter-battery radar market. In addition, it is present in the downstream market for integrated missile systems.</w:t>
      </w:r>
    </w:p>
    <w:p>
      <w:r>
        <w:t xml:space="preserve">A. SECTORS OF AO/C2 SYSTEMS AND BATTLEFIELD SYSTEMS  </w:t>
        <w:br/>
        <w:t xml:space="preserve">1. AO/C2 SYSTEMS  </w:t>
        <w:br/>
        <w:t xml:space="preserve">7. AO/C2 systems are ground surveillance systems used to protect a large geographical area (for example, a country) against all aerial threats. Within the surface military communication systems, the Commission has identified two markets specific to AO/C2 systems3 depending on whether they are long-range surveillance radars or air operations control and command centers.  </w:t>
        <w:br/>
        <w:t xml:space="preserve">8. The radars of AO/C2 systems are long-range air surveillance radars that function to collect information from aerial images. These radars transmit the collected information to AO/C2 centers via communication systems. The control and command centers for air operations analyze the information received from AO/C2 radars and determine the appropriate weapons based on this information.  </w:t>
        <w:br/>
        <w:t>3 See the aforementioned decision.</w:t>
      </w:r>
    </w:p>
    <w:p>
      <w:r>
        <w:t>9. The decision-making practice has also segmented each of these markets according to whether the AO/C2 systems are marketed as part of development programs or from a catalog.</w:t>
      </w:r>
    </w:p>
    <w:p>
      <w:r>
        <w:t xml:space="preserve">2. BATTLEFIELD SYSTEMS  </w:t>
        <w:br/>
        <w:t xml:space="preserve">10. The decision-making practice considers that battlefield systems constitute a distinct market within which it is necessary to distinguish between tactical air defense systems and counter-battery radars4.  </w:t>
        <w:br/>
        <w:t xml:space="preserve">11. Similar to AO/C2 systems, tactical air defense systems are composed of radars and centers. However, these systems differ from AO/C2 systems in that their radars are often mobile and have a range of less than 40 km. By comparison, the radars of AO/C2 systems are generally fixed and have a range of about 400/500 km.  </w:t>
        <w:br/>
        <w:t xml:space="preserve">12. Counter-battery radars ("weapon locating radars") detect and locate the source of incoming munitions (e.g., mortar fire) and directly engage in counter-fire to eliminate this source. Counter-battery radars, not participating in the same missions as those of tactical air defense systems, are often independent and disconnected from them. They are therefore supplied independently of these systems.  </w:t>
        <w:br/>
        <w:t>13. As with AO/C2 systems, the decision-making practice has also segmented each of these markets according to whether the battlefield systems are marketed as part of development programs or from a catalog.</w:t>
      </w:r>
    </w:p>
    <w:p>
      <w:r>
        <w:t xml:space="preserve">3. GEOGRAPHICAL MARKETS  </w:t>
        <w:br/>
        <w:t xml:space="preserve">14. For the analysis of the AO/C2 systems and battlefield systems markets, the decision-making practice retains a national dimension, extended to the European Economic Area ("EEA") or global.  </w:t>
        <w:br/>
        <w:t>15. In any case, it is not necessary, in this instance, to resolve the question of the exact delimitation of the markets, as the conclusions of the competitive analysis remain unchanged regardless of the delimitation adopted.</w:t>
      </w:r>
    </w:p>
    <w:p>
      <w:r>
        <w:t xml:space="preserve">B. DOWNSTREAM MARKET FOR INTEGRATED MISSILE SYSTEMS  </w:t>
        <w:br/>
        <w:t xml:space="preserve">16. According to the notifying parties, the market for integrated missile systems would be downstream of those in which TRS SAS is active and would include (i) integrated air defense and ballistic missile defense systems, (ii) short-range air defense systems, and (iii) very short-range air defense systems.  </w:t>
        <w:br/>
        <w:t xml:space="preserve">17. For the analysis of these markets, the parties propose to retain a national geographical dimension, extended to the European Economic Area or global.  </w:t>
        <w:br/>
        <w:t xml:space="preserve">18. In any case, it is not necessary, in this instance, to resolve the question of the exact delimitation of the markets, as the conclusions of the competitive analysis remain unchanged regardless of the delimitation adopted.  </w:t>
        <w:br/>
        <w:t>4 Ibidem.</w:t>
      </w:r>
    </w:p>
    <w:p>
      <w:r>
        <w:rPr>
          <w:b/>
        </w:rPr>
        <w:t>[Pages 4–5]</w:t>
      </w:r>
    </w:p>
    <w:p>
      <w:r>
        <w:t xml:space="preserve">III. Competitive Analysis  </w:t>
        <w:br/>
        <w:t xml:space="preserve">19. The companies Thales and TRS are not present in the same markets within the military communication equipment production sector. The operation is therefore not likely to harm competition through horizontal effects. However, the parties are active in related markets which will be examined under the analysis of vertical and conglomerate effects.  </w:t>
        <w:br/>
        <w:t xml:space="preserve">A. ANALYSIS OF VERTICAL EFFECTS  </w:t>
        <w:br/>
        <w:t xml:space="preserve">20. A vertical concentration can restrict competition by making it more difficult to access the markets in which the new entity will be active, potentially foreclosing competitors or penalizing them by increasing their costs. This foreclosure can target downstream markets, when the integrated company refuses to sell an input to its downstream competitors, or upstream markets, when the downstream branch of the integrated company refuses to purchase the products of upstream manufacturers, thereby reducing their commercial outlets. However, decision-making practice generally considers that a risk of vertical effect can be ruled out as long as the market share of the company resulting from the operation in the relevant markets does not exceed 30%.  </w:t>
        <w:br/>
        <w:t xml:space="preserve">21. In this case, the markets in which TRS is active are located upstream of the integrated missile systems market in which Thales operates. In this market, the parties estimate that Thales has [30-40]% market share in France, [10-20]% in the European Economic Area, and [0-5]% worldwide. In the integrated missile systems sector, Thales faces competition from significant operators such as MBDA ([70-80]% market share in France, [60-70]% in the EEA), Kongsberg ([5-10]% market share in France), Almaz Antey ([30-40]% worldwide), and Raytheon ([20-30]% market share worldwide).  </w:t>
        <w:br/>
        <w:t xml:space="preserve">22. In any case, there is no notable interaction between this market and the markets in which TRS is active. Integrated missile systems are primarily composed of weapons and missiles, on the one hand, and only marginally incorporate the products manufactured by TRS, namely AO/C2 centers, on the other hand. In this regard, the parties estimate the proportion of AO/C2 centers in integrated missile systems to be approximately [5-10]%.  </w:t>
        <w:br/>
        <w:t xml:space="preserve">23. Therefore, the operation is not likely to harm competition through vertical effects.  </w:t>
        <w:br/>
        <w:t xml:space="preserve">B. ANALYSIS OF CONGLOMERATE EFFECTS  </w:t>
        <w:br/>
        <w:t xml:space="preserve">24. Conglomerate effects may occur when the simultaneous presence of a company in markets with links of relatedness allows it to leverage its position in one of these markets to foreclose or weaken the position of its competitors in the other market. Restrictive competition effects may thus arise when a concentration allows for the commercial tying of sales or purchases of the components of the merger in such a way as to lock the market and foreclose competitors.  </w:t>
        <w:br/>
        <w:t xml:space="preserve">25. In this case, counter-battery radars, although belonging to the battlefield systems sector alongside tactical air defense systems, present such functional and technical dissimilarities with respect to the latter that they are supplied independently of tactical air defense systems. The implementation of a tying sales strategy following the operation therefore appears unlikely. Furthermore, in these markets, the new entity will remain subject to competition from significant operators such as BEL and Raytheon.  </w:t>
        <w:br/>
        <w:t xml:space="preserve">26. Therefore, the operation is not likely to harm competition through conglomerate effects.  </w:t>
        <w:br/>
        <w:t xml:space="preserve">DECIDES  </w:t>
        <w:br/>
        <w:t xml:space="preserve">Sole Article: The operation notified under number 16-089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