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https://www.autoritedelaconcurrence.fr/fr/decision-de-controle-des-concentrations/relative-la-prise-de-controle-exclusif-de-top-achat-par-le</w:t>
      </w:r>
    </w:p>
    <w:p>
      <w:r>
        <w:t>Pages translated : 15</w:t>
      </w:r>
    </w:p>
    <w:p/>
    <w:p>
      <w:r>
        <w:rPr>
          <w:b/>
        </w:rPr>
        <w:t>[Pages 1–3]</w:t>
      </w:r>
    </w:p>
    <w:p>
      <w:r>
        <w:t xml:space="preserve">FRENCH REPUBLIC  </w:t>
        <w:br/>
        <w:t xml:space="preserve">Decision No. 20-DCC-49 of March 27, 2020  </w:t>
        <w:br/>
        <w:t xml:space="preserve">regarding the exclusive control of Top Achat by the  </w:t>
        <w:br/>
        <w:t xml:space="preserve">LDLC group  </w:t>
        <w:br/>
        <w:t xml:space="preserve">The Competition Authority,  </w:t>
        <w:br/>
        <w:t xml:space="preserve">Having regard to the notification file submitted in full to the concentrations service on February 25, 2020, regarding the exclusive control of Top Achat by the LDLC group, formalized by a unilateral purchase promise dated October 31, 2019, exercised on January 30, 2020;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By means of the decision below, the Authority examined the acquisition of the Top Achat business by the LDLC group.  </w:t>
        <w:br/>
        <w:t xml:space="preserve">The parties are simultaneously active in the markets for household appliances, computer components, and computer configuration services.  </w:t>
        <w:br/>
        <w:t xml:space="preserve">On the occasion of this operation, the Authority considered the existence of two specific segments within the downstream market for the retail distribution of household appliances:  </w:t>
        <w:br/>
        <w:t xml:space="preserve">- a first segmentation of gray products intended for video game players;  </w:t>
        <w:br/>
        <w:t xml:space="preserve">- a second segmentation based on the ranges of gray products, given the activities of the parties that are particularly present in the high-end segment.  </w:t>
        <w:br/>
        <w:t xml:space="preserve">For the first time, the Authority also identified two new markets:  </w:t>
        <w:br/>
        <w:t xml:space="preserve">- a market for computer components, which may be segmented according to each category of components; this market is structured around an upstream market for supply and a downstream market for retail sales;  </w:t>
        <w:br/>
        <w:t xml:space="preserve">- a market for computer configuration services; this market corresponds to the design of custom computers using a configuration software tool and assembly and mounting services.  </w:t>
        <w:br/>
        <w:t xml:space="preserve">The Authority analyzed the effects of the operation on the markets for household appliances, computer components, and computer configuration services and found that the operation did not raise any competition issues in these various markets, particularly due to the presence of numerous competitors and the limited positions of the parties in the relevant markets.  </w:t>
        <w:br/>
        <w:t xml:space="preserve">At the end of its analysis, the Authority therefore authorized this operation without subjecting it to any specific conditions.  </w:t>
        <w:br/>
        <w:t xml:space="preserve">1 This summary is strictly informative. Only the reasons for the decision numbered below are authoritative.  </w:t>
        <w:br/>
        <w:t>2</w:t>
      </w:r>
    </w:p>
    <w:p>
      <w:r>
        <w:t xml:space="preserve">I. The Companies Concerned and the Operation  </w:t>
        <w:br/>
        <w:t xml:space="preserve">1. The company Groupe LDLC, controlled by the de la Clergerie family, heads the LDLC group (hereinafter "LDLC"), which is primarily active in the distribution sector of computer and electronic products. The retail activity of computer and electronic equipment is carried out under several brands distributed via the e-commerce websites LDLC.com, materiel.net, and hardware.fr. LDLC is also present throughout the territory with a network of more than fifty stores under the "LDLC.com" brand, nine stores under the "Materiel.net" brand, and fifteen stores under the "Bimp" brand. LDLC also offers computer configuration services accessible notably on its e-commerce sites.  </w:t>
        <w:br/>
        <w:t xml:space="preserve">2. Top Achat is a business currently owned by the company Rue du Commerce. Top Achat is active in the online distribution sector of customizable computers, computer components, peripherals, and accessories via its e-commerce website topachat.com. As part of these various activities, Top Achat offers an online computer configuration service called "Configomatic."  </w:t>
        <w:br/>
        <w:t xml:space="preserve">3. The operation formalized by a unilateral purchase promise dated October 31, 2019, exercised on January 30, 2020, consists of the acquisition by LDLC of the entire business operated under the "Top Achat" brand.  </w:t>
        <w:br/>
        <w:t xml:space="preserve">4. Insofar as it results in the exclusive control of Top Achat by LDLC, the notified operation constitutes a concentration within the meaning of Article L. 430-1 of the Commercial Code.  </w:t>
        <w:br/>
        <w:t xml:space="preserve">5. The companies concerned together achieve a total worldwide turnover of more than 150 million euros (LDLC: 507.5 million euros for the fiscal year ending March 31, 2019; Top Achat: [≤150] million euros for the fiscal year ending December 31, 2018). Each of these companies achieves, in France, a turnover exceeding 50 million euros (LDLC: [≥50] million euros for the fiscal year ending March 31, 2019; Top Achat: [≥50] million euros for the fiscal year ending December 31, 2018). Given these turnover figures, the operation does not have a European dimension.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6. The parties are simultaneously active in the retail sector of household appliances2. In the sector of distribution of household appliances, competition authorities generally recognize two categories of markets:  </w:t>
        <w:br/>
        <w:t xml:space="preserve">2 LDLC is also active as a wholesaler. However, Top Achat is not present in this market. Furthermore, the purchases made by LDLC in this regard have indeed been integrated into the market shares of the company in the upstream supply markets. Finally, given the different nature of the customers for retail distribution activity and for wholesaler activity, no conglomerate effect is likely to be reinforced as a result of the operation. This activity will therefore not be the subject of a specific analysis in the context of this decision.  </w:t>
        <w:br/>
        <w:t>3</w:t>
      </w:r>
    </w:p>
    <w:p>
      <w:r>
        <w:rPr>
          <w:b/>
        </w:rPr>
        <w:t>[Pages 4–6]</w:t>
      </w:r>
    </w:p>
    <w:p>
      <w:r>
        <w:t xml:space="preserve">upstream supply of companies from suppliers (A) and the downstream markets that bring together distributors and end consumers (B).  </w:t>
        <w:br/>
        <w:t xml:space="preserve">7. The parties are also simultaneously active in the markets for computer components. In this sector, it is necessary to distinguish, in the same way as for household products: the upstream markets for the supply of components (C) and the downstream markets for the retail sale of components (D).  </w:t>
        <w:br/>
        <w:t xml:space="preserve">8. Finally, the parties are simultaneously active in the market for computer configuration services (E).  </w:t>
        <w:br/>
        <w:t xml:space="preserve">A. THE UPSTREAM MARKETS FOR THE SUPPLY OF HOUSEHOLD PRODUCTS  </w:t>
        <w:br/>
        <w:t xml:space="preserve">1. THE MARKETS FOR PRODUCTS  </w:t>
        <w:br/>
        <w:t xml:space="preserve">9. Regarding the upstream supply markets, the competition authorities noted that "producers manufacture specific products or groups of products and are not technically able to easily convert to the manufacture of other products without significant costs." Moreover, "at the supply level, one can consider that there are as many markets as there are families of products subject to negotiation, each distributor putting various suppliers in competition in each of the markets."  </w:t>
        <w:br/>
        <w:t xml:space="preserve">10. Based on the organization of the "purchasing" divisions of distributors, the competition authorities thus resort to a segmentation according to the following product groups: (i) large household appliances; (ii) small household appliances; (iii) cameras/film; (iv) hi-fi/audio equipment; (v) TV/video equipment; (vi) computers/peripherals; and (vii) telephony.  </w:t>
        <w:br/>
        <w:t xml:space="preserve">11. The Authority also questioned the relevance of retaining a distinct market for video game products (including consoles, accessories, and video games).  </w:t>
        <w:br/>
        <w:t xml:space="preserve">12. In this instance, the question of the delineation of the upstream markets for the supply of household products can be left open, with the conclusions of the competitive analysis remaining unchanged, regardless of the segmentations retained.  </w:t>
        <w:br/>
        <w:t xml:space="preserve">2. THE GEOGRAPHICAL MARKETS  </w:t>
        <w:br/>
        <w:t xml:space="preserve">13. The competition authorities consider that the markets for the supply of household products are at least national in scope, if not European.  </w:t>
        <w:br/>
        <w:t xml:space="preserve">14. In this case, the question of the geographical delineation of these markets can be left open, with the conclusions of the competitive analysis remaining unchanged, regardless of the segmentations retained.  </w:t>
        <w:br/>
        <w:t xml:space="preserve">B. THE DOWNSTREAM MARKETS FOR THE RETAIL SALE OF HOUSEHOLD PRODUCTS  </w:t>
        <w:br/>
        <w:t xml:space="preserve">1. THE MARKETS FOR PRODUCTS  </w:t>
        <w:br/>
        <w:t xml:space="preserve">14. The decision-making practice has considered a segmentation of the downstream markets for the retail sale of household products according to two criteria: the product family and the distribution channel.  </w:t>
        <w:br/>
        <w:t xml:space="preserve">a) The distinction by product family  </w:t>
        <w:br/>
        <w:t xml:space="preserve">White, brown, and gray products  </w:t>
        <w:br/>
        <w:t xml:space="preserve">15. The competition authorities traditionally distinguish, within the category of household products, which includes both electrical and electronic products, three product families: (i) white goods: cooktops, stoves, ovens, built-in sets, hoods, washing machines, dryers, dishwashers, refrigerators, freezers, small kitchen appliances, coffee makers, food processors, irons, and vacuum cleaners; (ii) brown goods: televisions, camcorders, hi-fi and audio equipment, digital devices, and DVD players; (iii) gray products: personal computers, monitors, peripherals (printers or scanners), keyboards, modular accessories or spare parts (memory cards or additional hard drives), software, and telephony.  </w:t>
        <w:br/>
        <w:t xml:space="preserve">16. Regarding the distribution of white goods, the decision-making practice has left open the question of a possible sub-segmentation between small and large household appliances.  </w:t>
        <w:br/>
        <w:t xml:space="preserve">17. The competition authorities have also considered that a finer division of the market between "low-end" and "high-end" products was not relevant, as retailers generally offer a wide assortment of products, regardless of their marketing positioning.  </w:t>
        <w:br/>
        <w:t xml:space="preserve">18. However, given the activities of the parties, particularly present in the "high-end" computer products segment, the Authority has, in this instance, analyzed the effects of the operation on the market for gray products segmented by price range. A majority of respondents to the market test indeed considered it necessary and desirable to distinguish gray products based on their price range.  </w:t>
        <w:br/>
        <w:t xml:space="preserve">19. In this regard, according to the information gathered during the investigation from third parties and the notifying party, the high-end segment corresponds to gray products priced above 1,000 euros, the mid-range segment to gray products priced between 450-500 and 1,000 euros, and the low-end segment to gray products priced below 450-500 euros.  </w:t>
        <w:br/>
        <w:t xml:space="preserve">20. The Authority also highlighted the existence of a specific segment of gray products intended for video game players, as certain specific products such as computers or keyboards are intended for video game players. The results of the market test indeed showed that, from the perspective of some operators, gray products intended for video game players meet specific customer expectations, particularly in terms of power, cooling, or regarding the graphics card.  </w:t>
        <w:br/>
        <w:t xml:space="preserve">21. In any case, in this instance, the question of the exact delineation of the gray products market can remain open, with the conclusions of the competitive analysis remaining unchanged, regardless of the segmentations retained.  </w:t>
        <w:br/>
        <w:t xml:space="preserve">Multimedia entertainment products  </w:t>
        <w:br/>
        <w:t xml:space="preserve">22. Regarding the distribution of "multimedia entertainment" products, the Authority considered the existence of a market for game consoles, console accessories, games for consoles and PCs, while leaving the question of its exact delineation open. A finer delineation by product type between (i) game software, (ii) consoles, and (iii) video game accessories was also mentioned by the minister responsible for the economy.  </w:t>
        <w:br/>
        <w:t xml:space="preserve">23. The Authority excluded from the competitive analysis the digital games sold remotely. Indeed, it noted that while the video game sector is characterized by constant and rapid innovation, particularly in terms of dematerialization, the term "digital games" encompasses very heterogeneous products, such as digital versions of games for PCs or consoles that already exist in physical formats, free games, or online games. These games can be offered on devices (tablets, smartphones, etc.) that, unlike consoles, are not primarily dedicated to video gaming. The Authority also noted that providers of digital games differ from traditional online providers of physical video game products. Thus, digital games are not included in the market for the distribution of video game products, which, on the other hand, includes software, consoles, and video game accessories.  </w:t>
        <w:br/>
        <w:t xml:space="preserve">24. There is no need to challenge this delineation in the context of the present operation.  </w:t>
        <w:br/>
        <w:t xml:space="preserve">b) The distinction by sales channel  </w:t>
        <w:br/>
        <w:t xml:space="preserve">25. Household products are sold to end consumers primarily through two distinct distribution channels: distance sales and sales at physical points of sale. In this instance, the majority of the parties' activity in the downstream market for the retail sale of household products is conducted through online sales. The notifying party also has a network of physical points of sale.  </w:t>
        <w:br/>
        <w:t xml:space="preserve">Distance sales  </w:t>
        <w:br/>
        <w:t>26. In the aforementioned decision n° 16-DCC-111, the Authority included online and in-store distribution channels within the same market. It indeed considered that, even though the substitutability of these two channels is not perfect, it is now sufficient to consider that the</w:t>
      </w:r>
    </w:p>
    <w:p>
      <w:r>
        <w:rPr>
          <w:b/>
        </w:rPr>
        <w:t>[Pages 7–9]</w:t>
      </w:r>
    </w:p>
    <w:p>
      <w:r>
        <w:t xml:space="preserve">online sales exert such competitive pressure on in-store sales that these channels must be considered as part of the same market.  </w:t>
        <w:br/>
        <w:t xml:space="preserve">27. Indeed, the Authority found that the development of online sales in the electronic products sector over the five years preceding its decision was accompanied by a significant reduction in the differences that had been noted by previous decision-making practices between online sales and in-store sales. It notably observed that traditional retailers of household appliances had gradually adopted an "omnichannel" strategy that combined the two distribution channels into one from the consumer's perspective, particularly by aligning their pricing strategy with that of online-only operators. Online sales operators, for their part, improved the services offered to customers to meet the criteria set by in-store sales. Finally, the Authority noted that consumers integrated the internet into their purchasing behavior, both in terms of comparing offers upstream and for the act of purchase itself.  </w:t>
        <w:br/>
        <w:t xml:space="preserve">28. All of these findings remain valid as of the date of this decision, and there is no need to call into question, in this instance, this delineation of the markets which retains a single sales channel for household appliances.  </w:t>
        <w:br/>
        <w:t xml:space="preserve">Physical Points of Sale  </w:t>
        <w:br/>
        <w:t xml:space="preserve">29. Competition authorities traditionally use three criteria to delineate markets for physical retail points of sale: the type of products sold, the format and size of the stores, insofar as only stores that consistently offer a wide assortment of products throughout the year exert real competitive pressure on one another.  </w:t>
        <w:br/>
        <w:t xml:space="preserve">30. Thus, according to the decision-making practice of the Authority, a large specialized store (hereinafter "GSS") in household appliances, such as Boulanger, competes with other GSS (Fnac Darty), large multi-specialist stores (Conforama and But), which offer, in addition to household appliances, furniture and decoration products, groups of independent operators (Euronics/Gitem, Connexion, Digital or Expert), convenience stores, and large food stores (hereinafter "GSA"), as well as with hard-discount stores specialized in the retail of household appliances (Électro Dépôt).  </w:t>
        <w:br/>
        <w:t xml:space="preserve">31. Regarding large multi-specialist stores, the Authority considers that they exert unequal competitive pressure on GSS since not all offer the three ranges of white, brown, and gray products and where the average size and share of household appliances vary greatly by brand. While it exceeds 80% for specialized stores like Darty, Connexion, or Boulanger, it remains below 20% for furniture stores (But, Conforama).  </w:t>
        <w:br/>
        <w:t xml:space="preserve">32. Regarding GSAs, competition authorities have noted that they traditionally differ from GSS by offering narrower ranges of products, assortments, and services. However, they have considered that some GSAs have permanent sections comparable to those of GSS and offer a significant number of references for household appliances, generally covering the entire spectrum of white, brown, and gray products, with the same characteristics in terms of products as GSS. Decision-making practice therefore considers these GSAs as substitutable for GSS. It also estimates that below a threshold of 2,500 m² of total sales area, stores are not able to offer an assortment comparable to that offered by GSS and/or only offer household appliances sporadically as "loss leaders."  </w:t>
        <w:br/>
        <w:t xml:space="preserve">33. Regarding other specialists (groups of independent operators, convenience stores), the Authority considers that only groups of independent operators (such as Euronics/Gitem, Connexion, Pro&amp;Cie, Digital or Pulsat) as well as convenience stores "with a surface area of more than 300 m² [are] able to offer a diverse range of white, brown, or gray products" and can therefore compete with GSS.  </w:t>
        <w:br/>
        <w:t xml:space="preserve">34. Regarding hard-discount stores, the Authority considers, in the food retail sector, that they fall within the same market as supermarkets. It has transposed this analysis to the retail distribution sector of household appliances, thus taking into account brands such as Électro Dépôt in its competitive analysis.  </w:t>
        <w:br/>
        <w:t xml:space="preserve">35. In decision n° 16-DCC-111 mentioned above, the Authority also took into account for the purposes of the competitive analysis the Apple Store locations whose area exceeds 300 m².  </w:t>
        <w:br/>
        <w:t xml:space="preserve">36. In conclusion, although exerting different competitive pressures on GSS, GSAs of more than 2,500 m², multi-specialists, hard-discount stores specialized in the retail of household appliances, groups of independents, and convenience stores with a total surface area greater than 300 m², as well as physical points of sale of Apple, fall within the same market as GSS.  </w:t>
        <w:br/>
        <w:t xml:space="preserve">2. GEOGRAPHICAL MARKETS  </w:t>
        <w:br/>
        <w:t xml:space="preserve">37. In the sector of retail in physical points of sale, in accordance with decision-making practice, competition occurs, from the consumer's perspective, primarily at the local level in markets whose dimensions vary depending on the type of products concerned and the attractiveness of the stores.  </w:t>
        <w:br/>
        <w:t xml:space="preserve">38. Regarding the distribution of household appliances, competition authorities have estimated that consumers are willing to travel for a duration of 20 to 45 minutes to reach a store and compare products and prices from one brand to another. This duration, however, varies depending on the size of the store and other characteristics specific to each area, such as geography, population density, or other stores located nearby.  </w:t>
        <w:br/>
        <w:t xml:space="preserve">39. Concerning the online retail sector, the Authority noted, in decision n° 16-DCC-111 mentioned above, that the rise of online sales has led operators in the sector to harmonize their pricing and commercial policies at the national level for both sales channels, in-store and online. However, the inclusion of online sales sites in the market for the distribution of household appliances, on the same basis as physical points of sale, does not imply an exclusive analysis of a national market.  </w:t>
        <w:br/>
        <w:t xml:space="preserve">40. Indeed, the Authority also conducted its competitive analysis at the local level, insofar as GSS particularly take into account local competitive determinants in defining their commercial and pricing policies.  </w:t>
        <w:br/>
        <w:t xml:space="preserve">41. Regarding the local dimension of the markets, the Authority conducted its competitive analysis in catchment areas whose extents vary depending on the location of the target stores:  </w:t>
        <w:br/>
        <w:t xml:space="preserve">(i) In the provinces (excluding large cities), the Authority considered catchment areas corresponding to 30-minute driving times;  </w:t>
        <w:br/>
        <w:t xml:space="preserve">(ii) In the Paris suburbs and in large provincial cities, it considered catchment areas corresponding to 20-minute driving times.  </w:t>
        <w:br/>
        <w:t xml:space="preserve">(iii) In Paris, it considered an area corresponding to the city of Paris intra-muros and smaller catchment areas with a radius of three kilometers around the relevant points of sale.  </w:t>
        <w:br/>
        <w:t xml:space="preserve">42. In this instance, the parties are active throughout the national territory, in the context of their online sales activity. Furthermore, LDLC's physical points of sale are located throughout the national territory: in the provinces, in large provincial cities, as well as in Paris.  </w:t>
        <w:br/>
        <w:t xml:space="preserve">C. MARKETS FOR THE SUPPLY OF COMPUTER COMPONENTS  </w:t>
        <w:br/>
        <w:t xml:space="preserve">1. PRODUCT MARKETS  </w:t>
        <w:br/>
        <w:t xml:space="preserve">43. Computer components correspond to the internal hardware of a computer, as opposed to external peripherals. Some actors interviewed during the investigation further distinguish, within electronic components, technological components (chips, motherboards, etc.) and hardware components (cases, shells, etc.).  </w:t>
        <w:br/>
        <w:t xml:space="preserve">44. In the context of their activities in selling computer components and configuring computers, the parties purchase computer components from manufacturers or intermediary wholesalers. In this context, it is necessary to analyze the effects of the operation on an upstream market for the supply of computer components, distinct from the upstream market for the supply of household appliances. Furthermore, given the specialization of manufacturers of such products, some of whom specialize in the manufacture of a single type of component, a segmentation of the upstream market for the supply of computer components cannot be ruled out.  </w:t>
        <w:br/>
        <w:t xml:space="preserve">45. In any case, in this instance, the question of the existence of such a market and its possible segmentations can be left open, as the conclusions of the competitive analysis remain unchanged regardless of the delineation retained.  </w:t>
        <w:br/>
        <w:t xml:space="preserve">2. GEOGRAPHICAL MARKETS  </w:t>
        <w:br/>
        <w:t>46. The notifying party considers that this market is of a global dimension. Indeed, most manufacturers of computer components are international players, as evidenced by the presence of Asian actors such as Asus, Acer, and Gigabyte or American ones such as Intel or AMD.</w:t>
      </w:r>
    </w:p>
    <w:p>
      <w:r>
        <w:rPr>
          <w:b/>
        </w:rPr>
        <w:t>[Pages 10–12]</w:t>
      </w:r>
    </w:p>
    <w:p>
      <w:r>
        <w:t xml:space="preserve">47. According to the notifying party, the global dimension of the market applies to all segments of this market insofar as all components can be purchased outside of France and outside of Europe.  </w:t>
        <w:br/>
        <w:t xml:space="preserve">48. However, the operators surveyed during the investigation indicated that they primarily purchase from wholesalers based mainly in France.  </w:t>
        <w:br/>
        <w:t xml:space="preserve">49. In any case, the question of the geographical delineation of the supply of computer components can be left open as the conclusions of the competitive analysis remain unchanged regardless of the delineation adopted. In this instance, the competitive analysis of the upstream market for the supply of computer components will be conducted at the global level and, conservatively, at the national level.  </w:t>
        <w:br/>
        <w:t xml:space="preserve">D. THE RETAIL MARKETS FOR COMPUTER COMPONENTS  </w:t>
        <w:br/>
        <w:t xml:space="preserve">1. THE PRODUCT MARKETS  </w:t>
        <w:br/>
        <w:t xml:space="preserve">50. Both parties retail computer components that can be sold to consumers independently of the purchase of a gray product.  </w:t>
        <w:br/>
        <w:t xml:space="preserve">51. However, according to the majority of respondents to the market test, these products form a distinct market when sold alone, due to their specific characteristics. Indeed, while there are interactions between the sale of computer products and that of computer components, the latter can be purchased independently to replace a defective part in a pre-existing product, or for the purpose of building one's own computer equipment.  </w:t>
        <w:br/>
        <w:t xml:space="preserve">52. Furthermore, the market test indicates that this market could be segmented by type of component since each meets a specific need.  </w:t>
        <w:br/>
        <w:t xml:space="preserve">53. The notifying party, for its part, considers that it is not necessary to distinguish a separate market for computer components, nor to further segment this market by type of component. It notably points out that there are no barriers to entry in the sale of components. Distributors can easily expand their range by addressing either the manufacturer or wholesalers, who are the same for all components.  </w:t>
        <w:br/>
        <w:t xml:space="preserve">54. In any case, in this instance, the question of the exact delineation of these markets can be left open, as the conclusions of the competitive analysis remain unchanged, regardless of the segmentation adopted.  </w:t>
        <w:br/>
        <w:t xml:space="preserve">2. THE GEOGRAPHICAL MARKETS  </w:t>
        <w:br/>
        <w:t xml:space="preserve">55. The market test and the information provided by the notifying party indicate that the market for computer components is of national, if not European, dimension, due to the presence of foreign players and the pressure from online sales operators via their marketplaces.  </w:t>
        <w:br/>
        <w:t xml:space="preserve">56. In this instance, the question of the precise geographical dimension of these markets can be left open, as the conclusions of the competitive analysis remain unchanged, regardless of the segmentation adopted. The competitive analysis of this market will be conducted, conservatively, at the national level.  </w:t>
        <w:br/>
        <w:t xml:space="preserve">E. THE MARKET FOR COMPUTER CONFIGURATION SERVICES  </w:t>
        <w:br/>
        <w:t xml:space="preserve">1. SERVICE MARKET  </w:t>
        <w:br/>
        <w:t xml:space="preserve">57. Computer configuration services are aimed at customers wishing to design a custom computer, allowing them to meet their specific requirements regarding the choice of the main components that make it up. Operators offering computer configuration services primarily intervene, on the one hand, to ensure compatibility between the various components, and on the other hand, to assemble the computer.  </w:t>
        <w:br/>
        <w:t xml:space="preserve">58. The market test and the information gathered during the investigation from the main players in the sector indicate that there are different types of custom computers. These may include pre-assembled computers aimed at a type of clientele that desires a computer with specific characteristics but lacks the technical knowledge to choose all the components. They may also include completely custom-built computers, meaning that the customer chooses all the components based on their characteristics and brands. The available offerings in this market thus meet the demand of customers with specific requirements in terms of technology or performance of their computer equipment, such as certain professionals who wish to meet a specific need (e.g., choice of operating system, computer performance to support professional software) or video game enthusiasts.  </w:t>
        <w:br/>
        <w:t xml:space="preserve">59. The notifying party considers that the computer configuration service is substitutable for the sale of computers configured by manufacturers. It also believes that the market for PC configuration services should include independent shops allowing customers to build their custom computers. However, such a position is not confirmed by the investigation. On the one hand, only half of the operators surveyed during the market test confirmed that there could be substitutability between the sale of computers configured by manufacturers and the sale of custom-built computers. On the other hand, the operators surveyed indicated that they do not consider independent shops as direct competitors, as they operate more as repairers.  </w:t>
        <w:br/>
        <w:t xml:space="preserve">60. In any case, the question of the exact delineation of the market for computer configuration services can be left open, as the conclusions of the competitive analysis remain unchanged regardless of the segmentation adopted. The analysis will be conducted, conservatively, on a market excluding computers configured by manufacturers and independent shops.  </w:t>
        <w:br/>
        <w:t xml:space="preserve">61. In this instance, both parties are active in the market for computer configuration services. Indeed, both have computer configuration tools and provide assembly and installation services on their online sales sites and in their physical stores.  </w:t>
        <w:br/>
        <w:t xml:space="preserve">2. GEOGRAPHICAL MARKET  </w:t>
        <w:br/>
        <w:t xml:space="preserve">62. The market test indicates that the market for computer configuration services is of national, if not European, dimension, due to the presence of European players and the development of sales made by operators not present in the French territory, through marketplaces such as Amazon, for example.  </w:t>
        <w:br/>
        <w:t xml:space="preserve">63. In this instance, the question of the precise geographical dimension of these markets can be left open, as the conclusions of the competitive analysis remain unchanged, regardless of the segmentation adopted. The competitive analysis of this market will be conducted, conservatively, at the national level.  </w:t>
        <w:br/>
        <w:t xml:space="preserve">III. Competitive Analysis  </w:t>
        <w:br/>
        <w:t xml:space="preserve">A. THE UPSTREAM MARKETS FOR THE SUPPLY OF ELECTRONIC PRODUCTS  </w:t>
        <w:br/>
        <w:t xml:space="preserve">64. In this instance, the parties are simultaneously active in the upstream supply markets in the following segments: cameras/film; hi-fi/sound devices; TV/video devices; computers/peripherals, telephony, and the potential segment of video game products. In these various segments, the combined market share of the new entity is below 5%, except for computers/peripherals where it is below 15%.  </w:t>
        <w:br/>
        <w:t xml:space="preserve">65. LDLC is also present in the segments of (i) major appliances and (ii) small appliances, where its market share is below 2%.  </w:t>
        <w:br/>
        <w:t xml:space="preserve">66. Therefore, the operation is not likely to harm competition in the upstream markets for the supply of electronic products through horizontal or conglomerate effects.  </w:t>
        <w:br/>
        <w:t xml:space="preserve">B. THE DOWNSTREAM MARKETS FOR THE RETAIL SALE OF ELECTRONIC PRODUCTS  </w:t>
        <w:br/>
        <w:t xml:space="preserve">67. In this instance, the parties are active in the segments of brown goods, gray goods, and multimedia entertainment.  </w:t>
        <w:br/>
        <w:t xml:space="preserve">68. At the national level, the combined market share of the parties regarding brown and gray products is below 10%.  </w:t>
        <w:br/>
        <w:t xml:space="preserve">69. Regarding the potential segment of gray products intended for gamers, the notifying party indicates that, at the national level, the combined market share of the parties is [5-10]%.  </w:t>
        <w:br/>
        <w:t xml:space="preserve">70. Regarding the potential segmentation of gray products based on their range, the combined market share of the parties would be [20-30]% in the high-end segment at the national level. In the mid-range and low-end segments, the combined market share of the parties would, in any case, be below 25% at the national level.  </w:t>
        <w:br/>
        <w:t>71. Finally, regarding multimedia entertainment products, the combined market share of the parties is below 5% across all sub-segments considered by the decision-making practice at the national level.</w:t>
      </w:r>
    </w:p>
    <w:p>
      <w:r>
        <w:rPr>
          <w:b/>
        </w:rPr>
        <w:t>[Pages 13–15]</w:t>
      </w:r>
    </w:p>
    <w:p>
      <w:r>
        <w:t xml:space="preserve">72. Thus, the operation is not likely to raise competition issues in the retail market for household appliances at the national level.  </w:t>
        <w:br/>
        <w:t xml:space="preserve">73. At the local level, in accordance with the established decision-making practice from the Fnac/Darty decision, the cumulative local market share of the parties was assessed by taking online sales into account. The national penetration rate of online sales was estimated by the parties, based on public studies, at 22% for gray products and 18% for brown products for the year 2018. Furthermore, the parties consider that online sales are relatively homogeneous across the entire territory. This assumption is consistent with the Authority's practice stemming from the Fnac/Darty decision and confirmed by the results of the market test (12 operators out of 15).  </w:t>
        <w:br/>
        <w:t xml:space="preserve">74. Given that LDLC operates 77 physical points of sale, while Top Achat is only active in online sales, the areas corresponding to these 77 stores were analyzed. In this context, the Authority analyzed the position of the new entity in each of these areas by integrating the sales made by LDLC through its websites and physical points of sale, and those made by Top Achat through its websites.  </w:t>
        <w:br/>
        <w:t xml:space="preserve">75. It follows that, regarding gray products, the highest cumulative market share of the parties is [10-20]% in the catchment area of the Paris Beaugrenelle store. In the event that it is necessary to segment the gray products market by product range or to identify a specific segment of gray products intended for video game players, the cumulative market share of the parties, at the local level, would be below 25% in each of these areas.  </w:t>
        <w:br/>
        <w:t xml:space="preserve">76. Regarding brown products and multimedia products, which represent marginal activities for the parties, the market share of the new entity is below 25% in all local areas.  </w:t>
        <w:br/>
        <w:t xml:space="preserve">77. Consequently, the operation is not likely to harm competition in the downstream markets for the retail sale of household appliances at the local level.  </w:t>
        <w:br/>
        <w:t xml:space="preserve">C. THE UPSTREAM MARKETS FOR THE SUPPLY OF COMPUTER COMPONENTS  </w:t>
        <w:br/>
        <w:t xml:space="preserve">78. In the upstream markets for the supply of computer components, at the national and global levels, the cumulative market share of the parties is below 25%, including in the event that a segmentation by family of computer components is retained.  </w:t>
        <w:br/>
        <w:t xml:space="preserve">79. In these markets, the new entity will face competition from powerful operators, notably computer manufacturers who are naturally active in the upstream market for the supply of electronic components to design their own products. It will also face suppliers who have bargaining power, whether they are the manufacturers themselves or wholesalers. The use of multi-brand wholesalers allows competitors to have numerous resellers, thereby limiting the risks of exclusion resulting from the operation.  </w:t>
        <w:br/>
        <w:t xml:space="preserve">80. Consequently, the operation is not likely to harm competition in the upstream market for the supply of computer components.  </w:t>
        <w:br/>
        <w:t xml:space="preserve">D. THE DOWNSTREAM MARKETS FOR THE RETAIL SALE OF COMPONENTS  </w:t>
        <w:br/>
        <w:t xml:space="preserve">81. In the downstream market for the retail sale of computer components, the cumulative market share of the parties, following the operation, is below 20%. In the event that the market is segmented by type of computer components, the cumulative market share of the new entity would remain below 25% in any case.  </w:t>
        <w:br/>
        <w:t xml:space="preserve">82. Consequently, the operation is not likely to harm competition in these markets.  </w:t>
        <w:br/>
        <w:t xml:space="preserve">E. THE MARKET FOR COMPUTER CONFIGURATION SERVICES  </w:t>
        <w:br/>
        <w:t xml:space="preserve">83. In the market for computer configuration services, according to the information gathered during the investigation, the new entity will have a market share amounting, based on the most conservative estimates, to [30-40]% in terms of the number of computers sold and [40-50]% in value. Furthermore, the operation will allow LDLC to acquire Top Achat's computer configuration tool, "Configomatic." However, it emerges from the investigation that this tool is particularly efficient and enjoys strong recognition among consumers, as it is the first tool of its kind to have been developed.  </w:t>
        <w:br/>
        <w:t xml:space="preserve">84. However, following the operation, the new entity will still face competition in this market from significant operators, such as Cybertek and PC Specialist, whose market share is, for each of them, according to the information gathered during the investigation, [20-30]% in value and [20-30]% in volume.  </w:t>
        <w:br/>
        <w:t xml:space="preserve">85. Furthermore, it appears that operators active in this market are facing increasing competition from foreign operators who offer their services to French consumers through online marketplaces, marketing computers developed by configurators.  </w:t>
        <w:br/>
        <w:t xml:space="preserve">86. Finally, several operators interviewed during the investigation indicated that the entry of a new operator into this market was possible. The main resources necessary to penetrate this market are indeed the computer configuration tool and the technical workforce required to provide the service. In this regard, some market operators indicated, during the market test, that developing a computer configuration tool required significant resources and necessitated having a substantial database of components to study the compatibility between different parts. However, the development of such a tool and the hiring of the required workforce would not be likely to prevent access to the market for new operators, particularly if they relied on pre-existing recognition in the retail distribution sector of household appliances.  </w:t>
        <w:br/>
        <w:t xml:space="preserve">87. Given all these elements, the operation is not likely to harm competition in the market for computer configuration services through horizontal effects.  </w:t>
        <w:br/>
        <w:t xml:space="preserve">DECIDES  </w:t>
        <w:br/>
        <w:t xml:space="preserve">Sole Article: The operation notified under number 19-305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