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https://www.autoritedelaconcurrence.fr/fr/decision-de-controle-des-concentrations/relative-la-prise-de-controle-exclusif-de-tps-et-0</w:t>
      </w:r>
    </w:p>
    <w:p>
      <w:r>
        <w:t>Pages translated : 2</w:t>
      </w:r>
    </w:p>
    <w:p/>
    <w:p>
      <w:r>
        <w:rPr>
          <w:b/>
        </w:rPr>
        <w:t>[Pages 1–2]</w:t>
      </w:r>
    </w:p>
    <w:p>
      <w:r>
        <w:t xml:space="preserve">FRENCH REPUBLIC  </w:t>
        <w:br/>
        <w:t xml:space="preserve">Decision No. 12-DEX-01 of March 27, 2012  </w:t>
        <w:br/>
        <w:t xml:space="preserve">regarding the exclusive control acquisition of TPS and CanalSatellite by  </w:t>
        <w:br/>
        <w:t>Vivendi Universal and Groupe Canal Plus</w:t>
      </w:r>
    </w:p>
    <w:p>
      <w:r>
        <w:t>The Competition Authority,</w:t>
      </w:r>
    </w:p>
    <w:p>
      <w:r>
        <w:t>Having regard to the notification file sent to the mergers department on October 24, 2011, and declared complete on February 21, 2012, concerning the exclusive control acquisition of TPS and CanalSatellite by Vivendi Universal and Groupe Canal Plus;</w:t>
      </w:r>
    </w:p>
    <w:p>
      <w:r>
        <w:t>Having regard to the decision of the Minister of Economy, Finance, and Industry dated August 30, 2006, authorizing the acquisition of TPS and CanalSatellite by Vivendi Universal and Groupe Canal Plus subject to all the commitments made by these companies on August 24, 2006, together with the opinion issued on the operation by the Competition Council on July 13, 2006;</w:t>
      </w:r>
    </w:p>
    <w:p>
      <w:r>
        <w:t>Having regard to the decision of the Competition Authority No. 11-D-12 of September 20, 2011, regarding the compliance with the commitments set forth in the decision authorizing the acquisition of TPS and CanalSatellite by Vivendi Universal and Groupe Canal Plus;</w:t>
      </w:r>
    </w:p>
    <w:p>
      <w:r>
        <w:t>Having regard to Book IV of the Commercial Code relating to price freedom and competition, and in particular its Articles L. 430-1 to L. 430-7;</w:t>
      </w:r>
    </w:p>
    <w:p>
      <w:r>
        <w:t>Having regard to the additional elements submitted by the parties during the investigation;</w:t>
      </w:r>
    </w:p>
    <w:p>
      <w:r>
        <w:t>Adopts the following decision:</w:t>
      </w:r>
    </w:p>
    <w:p>
      <w:r>
        <w:t>1. The Vivendi group is an operator in the communication and entertainment sectors. Its main activities include the production and publishing of content (video games, music, audiovisual works, films) and their distribution, particularly over digital networks. The Vivendi group is thus present in the music sector through its subsidiary Universal Music Group, in television and cinema through its subsidiary Groupe Canal Plus, in interactive games through its subsidiary Activision Blizzard, and in mobile and fixed telecommunications through its subsidiaries SFR, Groupe Maroc Télécom, and GVT.</w:t>
      </w:r>
    </w:p>
    <w:p>
      <w:r>
        <w:t>2. Groupe Canal Plus (hereinafter "GCP") is a pay television group, wholly owned by Vivendi, primarily active in France in the publishing of premium and thematic channels, in the aggregation and distribution of pay television offers, in new television usages, as well as in the production and distribution of cinema films.</w:t>
      </w:r>
    </w:p>
    <w:p>
      <w:r>
        <w:t>GCP is notably active, through its subsidiary CanalSat, in the publishing of thematic channels, in the aggregation and distribution of pay television channels within thematic bouquets, and in the distribution of catch-up television services.</w:t>
      </w:r>
    </w:p>
    <w:p>
      <w:r>
        <w:t>3. In 2006, the company TPS mainly engaged in the distribution and marketing of bouquets of pay television channels and services and radios. TPS was also active in the publishing and marketing of thematic channels and in the acquisition and distribution of films (as a publisher of thematic channels).</w:t>
      </w:r>
    </w:p>
    <w:p>
      <w:r>
        <w:t>4. By decision No. 11-D-12 of September 20, 2011, the Competition Authority found that Vivendi Universal and GCP had failed to comply with ten commitments made in 2006. The Authority consequently withdrew the authorization of 2006 and ordered the parties, unless they reverted to the state prior to the concentration, to re-notify the operation within one month.</w:t>
      </w:r>
    </w:p>
    <w:p>
      <w:r>
        <w:t>5. On October 24, 2011, Vivendi Universal and GCP re-notified the operation. The parties then communicated additional elements by letters dated December 23, 2011, January 19, 27, and 30, 2012, as well as February 3, 15, and 21, 2012.</w:t>
      </w:r>
    </w:p>
    <w:p>
      <w:r>
        <w:t>6. The examination provided for in I of Article L. 430-5 of the Commercial Code, which was conducted, raises serious doubts about the impact on competition. The operation indeed resulted in a significant strengthening of the competitive position of the parties, particularly in the upstream markets for the acquisition of rights related to broadcasting on pay television, in the markets for the publishing and marketing of thematic channels, as well as in the downstream markets for the distribution of pay television services.</w:t>
      </w:r>
    </w:p>
    <w:p>
      <w:r>
        <w:t>7. It is therefore necessary to initiate a thorough examination, in accordance with III of Article L. 430-5 of the Commercial Code.</w:t>
      </w:r>
    </w:p>
    <w:p>
      <w:r>
        <w:t xml:space="preserve">DECIDES  </w:t>
        <w:br/>
        <w:t>Sole Article: The operation notified under number 11-194 is subject to a thorough examination under the conditions provided for in Article L. 430-6 of the Commercial Code.</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