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https://www.autoritedelaconcurrence.fr/fr/decision-de-controle-des-concentrations/relative-la-prise-de-controle-exclusif-de-trapil-par-pisto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19-DEX-03 of December 10, 2019  </w:t>
        <w:br/>
        <w:t xml:space="preserve">regarding the exclusive control of Trapil by Pisto  </w:t>
        <w:br/>
        <w:t xml:space="preserve">The Competition Authority,  </w:t>
        <w:br/>
        <w:t xml:space="preserve">Having regard to the notification file submitted in full to the merger service on November 5, 2019,  </w:t>
        <w:br/>
        <w:t xml:space="preserve">regarding the acquisition of exclusive control by the company Pisto of Société des Transports  </w:t>
        <w:br/>
        <w:t xml:space="preserve">Pétroliers par Pipeline Trapil, formalized by a transfer agreement dated August 1, 2019;  </w:t>
        <w:br/>
        <w:t xml:space="preserve">Having regard to Book IV of the Commercial Code relating to price and competition freedom, and  </w:t>
        <w:br/>
        <w:t xml:space="preserve">notably its Articles L. 430-1 to L. 430-7;  </w:t>
        <w:br/>
        <w:t xml:space="preserve">Having regard to the supplementary elements transmitted by the notifying party during the investigation;  </w:t>
        <w:br/>
        <w:t xml:space="preserve">Having regard to the other documents in the file;  </w:t>
        <w:br/>
        <w:t xml:space="preserve">Adopts the following decision:  </w:t>
        <w:br/>
        <w:t xml:space="preserve">1. The company Pisto (hereinafter "Pisto") is active in the provision of storage services for  </w:t>
        <w:br/>
        <w:t xml:space="preserve">petroleum products through the companies Compagnie Industrielle et Maritime (hereinafter  </w:t>
        <w:br/>
        <w:t xml:space="preserve">" CIM") and Compagnie Commerciale de Manutention Pétrolière (hereinafter "CCMP"). CIM is  </w:t>
        <w:br/>
        <w:t xml:space="preserve">the holder of a public service delegation for the operation of facilities for receiving, storing,  </w:t>
        <w:br/>
        <w:t xml:space="preserve">and shipping refined products in the ports of Le Havre and Havre-Antifer (76). Pisto is  </w:t>
        <w:br/>
        <w:t xml:space="preserve">jointly controlled by the Crédit Agricole groups (through its subsidiary Predica*), Swiss Life  </w:t>
        <w:br/>
        <w:t xml:space="preserve">(through its subsidiary Swiss Life GIO II), and CNP Assurances (through its subsidiary Infra  </w:t>
        <w:br/>
        <w:t xml:space="preserve">Invest*)1.  </w:t>
        <w:br/>
        <w:t xml:space="preserve">2. Société des Transports Pétroliers par Pipeline Trapil (hereinafter "Trapil") is active in the  </w:t>
        <w:br/>
        <w:t xml:space="preserve">transport of hydrocarbons by pipeline in France. It owns the pipeline connecting Le Havre to  </w:t>
        <w:br/>
        <w:t xml:space="preserve">Paris, commonly referred to as the "LHP," which it also operates. Furthermore, it provides  </w:t>
        <w:br/>
        <w:t xml:space="preserve">industrial management services, real-time operations, maintenance, monitoring, and integrity  </w:t>
        <w:br/>
        <w:t xml:space="preserve">management of several French pipeline networks such as the pipeline known as "Pipeline  </w:t>
        <w:br/>
        <w:t xml:space="preserve">Méditerranée/Rhône" (hereinafter "PMR") and the common defense pipeline (hereinafter  </w:t>
        <w:br/>
        <w:t xml:space="preserve">"ODC"). Finally, it offers, in France and abroad, engineering services, intra-tube inspection,  </w:t>
        <w:br/>
        <w:t xml:space="preserve">meter verification, training personnel, as well as pipeline inspections, audits, or planning IT or  </w:t>
        <w:br/>
        <w:t xml:space="preserve">remote control2 of pipelines. Trapil is, to date, a company that is not controlled, within the  </w:t>
        <w:br/>
        <w:t xml:space="preserve">meaning of competition law, its share capital and voting rights being distributed among several  </w:t>
        <w:br/>
        <w:t xml:space="preserve">shareholders, none of whom alone has the ability to exercise decisive influence over the  </w:t>
        <w:br/>
        <w:t xml:space="preserve">company. Furthermore, no shareholders' agreement or sufficiently convergent interests among  </w:t>
        <w:br/>
        <w:t xml:space="preserve">the minority shareholders allows for the characterization of joint control, de jure or de facto,  </w:t>
        <w:br/>
        <w:t xml:space="preserve">over Trapil. The shareholders of Trapil are Pisto (43.9%), Total Marketing France (hereinafter  </w:t>
        <w:br/>
        <w:t xml:space="preserve">"Total") (35.5%), Esso (17.2%), and the employees of the company (3.1%).  </w:t>
        <w:br/>
        <w:t xml:space="preserve">3. The notified operation consists of the acquisition by Pisto of 30% of the share capital and  </w:t>
        <w:br/>
        <w:t xml:space="preserve">voting rights of Trapil held by Total. Thus, Pisto will hold exclusive control of Trapil with  </w:t>
        <w:br/>
        <w:t xml:space="preserve">approximately 73.9% of the capital and voting rights.  </w:t>
        <w:br/>
        <w:t xml:space="preserve">4. Following the operation, Pisto will be able to make decisions regarding the management of  </w:t>
        <w:br/>
        <w:t xml:space="preserve">Trapil by simple majority or by a two-thirds majority of the votes. The members of the board  </w:t>
        <w:br/>
        <w:t xml:space="preserve">of directors will be appointed by Pisto through the shareholders' meetings, the decisions of  </w:t>
        <w:br/>
        <w:t xml:space="preserve">which will be adopted by simple majority.  </w:t>
        <w:br/>
        <w:t xml:space="preserve">5. Consequently, the operation will grant Pisto the ability to unilaterally adopt the strategic  </w:t>
        <w:br/>
        <w:t xml:space="preserve">decisions of Trapil, with the minority shareholders having no veto rights that would confer  </w:t>
        <w:br/>
        <w:t xml:space="preserve">them decisive influence over Trapil's strategy3.  </w:t>
        <w:br/>
        <w:t xml:space="preserve">6. Insofar as it entails a change of control over Trapil, the operation constitutes a concentration  </w:t>
        <w:br/>
        <w:t xml:space="preserve">within the meaning of Article L. 430-1 of the Commercial Code.  </w:t>
        <w:br/>
        <w:t xml:space="preserve">7. The companies concerned generate a total worldwide turnover excluding taxes of more than  </w:t>
        <w:br/>
        <w:t xml:space="preserve">150 million euros (Pisto: approximately [≥ 150 million] euros for the fiscal year ending  </w:t>
        <w:br/>
        <w:t xml:space="preserve">December 31, 2018; Trapil: [≥ 150 million] euros for the same fiscal year). Each of these  </w:t>
        <w:br/>
        <w:t xml:space="preserve">companies has generated a turnover in France exceeding 50 million euros (Pisto:  </w:t>
        <w:br/>
        <w:t xml:space="preserve">approximately [≥ 50 million] euros for the fiscal year ending December 31, 2018; Trapil:  </w:t>
        <w:br/>
        <w:t xml:space="preserve">[≥ 50 million] euros for the same fiscal year). Given these turnover figures, the operation is  </w:t>
        <w:br/>
        <w:t xml:space="preserve">not subject to the jurisdiction of the European Union. On the other hand, the control thresholds  </w:t>
        <w:br/>
        <w:t xml:space="preserve">mentioned in I of Article L. 430-2 of the Commercial Code are exceeded. This operation is  </w:t>
        <w:br/>
        <w:t xml:space="preserve">therefore subject to the provisions of Articles L. 430-3 and following of the Commercial Code  </w:t>
        <w:br/>
        <w:t xml:space="preserve">relating to economic concentration.  </w:t>
        <w:br/>
        <w:t xml:space="preserve">8. The operation is also subject to notification to the minister responsible for Energy and is  </w:t>
        <w:br/>
        <w:t xml:space="preserve">under examination for approval by the Minister of Economy under foreign investment control4.  </w:t>
        <w:br/>
        <w:t xml:space="preserve">* * *  </w:t>
        <w:br/>
        <w:t xml:space="preserve">9. According to the notifying party, the operation is not likely to raise competition concerns. It  </w:t>
        <w:br/>
        <w:t xml:space="preserve">would not lead to either a horizontal overlap of activities or a vertical relationship, as the  </w:t>
        <w:br/>
        <w:t xml:space="preserve">services provided by Pisto do not constitute an input used or that could be used by Trapil or its  </w:t>
        <w:br/>
        <w:t xml:space="preserve">competitors to provide their own services and vice versa. Furthermore, no restrictive effects on  </w:t>
        <w:br/>
        <w:t xml:space="preserve">competition would result from the combination, on the one hand, of Pisto's activities in the  </w:t>
        <w:br/>
        <w:t xml:space="preserve">markets for storage of refined products in import and distribution depots and, on the other hand,  </w:t>
        <w:br/>
        <w:t xml:space="preserve">of Trapil's position in the markets for oil transport by pipeline. Despite the very strong position it  </w:t>
        <w:br/>
        <w:t xml:space="preserve">occupies in these markets, Trapil would neither have the capacity nor the incentive to implement  </w:t>
        <w:br/>
        <w:t xml:space="preserve">strategies aimed at or resulting in affecting the competitive capacity of import or distribution  </w:t>
        <w:br/>
        <w:t xml:space="preserve">depots competing with those of Pisto, notably tying strategies. Moreover, according to the  </w:t>
        <w:br/>
        <w:t xml:space="preserve">notifying party, these strategies could not produce a significant effect on competition,  </w:t>
        <w:br/>
        <w:t xml:space="preserve">particularly considering [confidential] and the countervailing power of its main clients,  </w:t>
        <w:br/>
        <w:t xml:space="preserve">[confidential].  </w:t>
        <w:br/>
        <w:t xml:space="preserve">10. However, at the end of the examination provided for in I of Article L. 430-5 of the  </w:t>
        <w:br/>
        <w:t xml:space="preserve">Commercial Code, the Authority considers that there remains a serious doubt of harm to  </w:t>
        <w:br/>
        <w:t xml:space="preserve">competition in the markets concerned by the operation, for the reasons set out below.  </w:t>
        <w:br/>
        <w:t xml:space="preserve">11. Regarding unilateral effects, the Authority questions the ability of the new entity to hinder  </w:t>
        <w:br/>
        <w:t xml:space="preserve">the maintenance of effective competition in the markets for the transport of refined products by  </w:t>
        <w:br/>
        <w:t xml:space="preserve">adopting independent behaviors towards its competitors, its clients, and ultimately, consumers.  </w:t>
        <w:br/>
        <w:t xml:space="preserve">The new entity will thus be able to significantly increase its prices, modify or reduce the  </w:t>
        <w:br/>
        <w:t xml:space="preserve">diversity of available services, or reduce the quality of services rendered. Its ability to adopt such  </w:t>
        <w:br/>
        <w:t xml:space="preserve">behaviors is reinforced by the fact that pipelines, which may constitute essential facilities, in  </w:t>
        <w:br/>
        <w:t xml:space="preserve">the sense of competition law, are, unlike most transport or energy networks, not subject to the  </w:t>
        <w:br/>
        <w:t xml:space="preserve">control of a sector regulator in France, despite the presence of a state representative on the  </w:t>
        <w:br/>
        <w:t xml:space="preserve">board of directors of Trapil. Furthermore, the market test revealed the weakness of competition  </w:t>
        <w:br/>
        <w:t xml:space="preserve">in the markets for the transport of refined products and the low number of companies likely to  </w:t>
        <w:br/>
        <w:t xml:space="preserve">operate pipelines.  </w:t>
        <w:br/>
        <w:t xml:space="preserve">12. Regarding conglomerate effects, the Authority questions the ability of the new entity to  </w:t>
        <w:br/>
        <w:t xml:space="preserve">implement strategies resulting from the exclusive control of a company that owns or manages  </w:t>
        <w:br/>
        <w:t xml:space="preserve">infrastructures essential and unavoidable for the activities of stockists, by a company that is  </w:t>
        <w:br/>
        <w:t xml:space="preserve">itself active in certain storage markets. These strategies could notably consist of refusals of  </w:t>
        <w:br/>
        <w:t xml:space="preserve">access, discriminatory access, tied sales, or bundled sales. The notifying party has provided  </w:t>
        <w:br/>
        <w:t xml:space="preserve">legal, technical, and economic elements likely to limit the risks of implementing a number of  </w:t>
        <w:br/>
        <w:t xml:space="preserve">identified strategies. However, these elements deserve a more thorough analysis that can only be  </w:t>
        <w:br/>
        <w:t xml:space="preserve">conducted during a phase of in-depth examination. Indeed, the downward structure of fuel transport  </w:t>
        <w:br/>
        <w:t xml:space="preserve">in France must be taken into account in the analysis of the capacity and incentives of the new  </w:t>
        <w:br/>
        <w:t xml:space="preserve">entity to implement these strategies, as well as the effects of these strategies on Pisto's  </w:t>
        <w:br/>
        <w:t xml:space="preserve">competitors.  </w:t>
        <w:br/>
        <w:t xml:space="preserve">13. In light of all the preceding elements, it is necessary to initiate an in-depth examination of  </w:t>
        <w:br/>
        <w:t xml:space="preserve">the acquisition of exclusive control of Trapil by Pisto, in application of III of Article L. 430-5 of  </w:t>
        <w:br/>
        <w:t>the Commercial Code.</w:t>
      </w:r>
    </w:p>
    <w:p>
      <w:r>
        <w:rPr>
          <w:b/>
        </w:rPr>
        <w:t>[Pages 4–4]</w:t>
      </w:r>
    </w:p>
    <w:p>
      <w:r>
        <w:t xml:space="preserve">DECIDES  </w:t>
        <w:br/>
        <w:t xml:space="preserve">Article one: The operation notified under number 19-208 is subject to an in-depth examination under the conditions provided for in Article L. 430-6 of the Commercial Code.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