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https://www.autoritedelaconcurrence.fr/fr/decision-de-controle-des-concentrations/relative-la-prise-de-controle-exclusif-de-trescal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18-DCC-15 of January 22, 2018  </w:t>
        <w:br/>
        <w:t xml:space="preserve">regarding the exclusive control acquisition of Trescal International S.A.S.  </w:t>
        <w:br/>
        <w:t xml:space="preserve">by OMERS Talbot Participation S.A.S.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27, 2017, concerning the exclusive control acquisition of Trescal International S.A.S. by  </w:t>
        <w:br/>
        <w:t xml:space="preserve">OMERS Talbot Participation S.A.S., formalized by a purchase agreement dated  </w:t>
        <w:br/>
        <w:t xml:space="preserve">November 13,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by OMERS Talbot Participation S.A.S.,  </w:t>
        <w:br/>
        <w:t xml:space="preserve">controlled by OMERS Administration Corporation, of the exclusive control of Trescal  </w:t>
        <w:br/>
        <w:t xml:space="preserve">International S.A.S and its subsidiaries. It constitutes a concentration within the meaning of Article 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the markets for inspection, control, and  </w:t>
        <w:br/>
        <w:t xml:space="preserve">certification services (so-called "T.I.C." markets, acronym for Testing, Inspection and Certification)  </w:t>
        <w:br/>
        <w:t xml:space="preserve">which are consistently defined by decision-making practice.  </w:t>
        <w:br/>
        <w:t xml:space="preserve">3. Regardless of the segmentations retained, the estimated market shares of the parties are  </w:t>
        <w:br/>
        <w:t xml:space="preserve">below 30%.  </w:t>
        <w:br/>
        <w:t xml:space="preserve">4. Given the elements of the file and in particular in light of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17-274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