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https://www.autoritedelaconcurrence.fr/fr/decision-de-controle-des-concentrations/relative-la-prise-de-controle-exclusif-de-trois-concessions</w:t>
      </w:r>
    </w:p>
    <w:p>
      <w:r>
        <w:t>Pages translated : 2</w:t>
      </w:r>
    </w:p>
    <w:p/>
    <w:p>
      <w:r>
        <w:rPr>
          <w:b/>
        </w:rPr>
        <w:t>[Pages 1–2]</w:t>
      </w:r>
    </w:p>
    <w:p>
      <w:r>
        <w:t xml:space="preserve">FRENCH REPUBLIC  </w:t>
        <w:br/>
        <w:t xml:space="preserve">Decision No. 18-DCC-43 of March 26, 2018  </w:t>
        <w:br/>
        <w:t xml:space="preserve">regarding the exclusive control acquisition of three car dealerships  </w:t>
        <w:br/>
        <w:t xml:space="preserve">and a business branch of the Herber group by the company Oblinger  </w:t>
        <w:br/>
        <w:t xml:space="preserve">Lorraine SAS  </w:t>
        <w:br/>
        <w:t xml:space="preserve">The Competition Authority,  </w:t>
        <w:br/>
        <w:t xml:space="preserve">Having regard to the notification file sent to the mergers department on January 15, 2018, and declared complete on February 20, 2018, concerning the exclusive control acquisition of three car dealerships and a business branch of the Herber group by the company Oblinger Lorraine SAS, formalized by a memorandum of understanding dated December 6, 2017;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Oblinger Lorraine SAS of three car dealerships of Citroën and DS brands located in Moselle (57) and a complete business branch of the Herber group. 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18-003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