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https://www.autoritedelaconcurrence.fr/fr/decision-de-controle-des-concentrations/relative-la-prise-de-controle-exclusif-de-trois-fonds-de-0</w:t>
      </w:r>
    </w:p>
    <w:p>
      <w:r>
        <w:t>Pages translated : 2</w:t>
      </w:r>
    </w:p>
    <w:p/>
    <w:p>
      <w:r>
        <w:rPr>
          <w:b/>
        </w:rPr>
        <w:t>[Pages 1–2]</w:t>
      </w:r>
    </w:p>
    <w:p>
      <w:r>
        <w:t xml:space="preserve">FRENCH REPUBLIC  </w:t>
        <w:br/>
        <w:t xml:space="preserve">Decision No. 19-DCC-209 of November 8, 2019  </w:t>
        <w:br/>
        <w:t xml:space="preserve">regarding the exclusive control acquisition of three business assets of  </w:t>
        <w:br/>
        <w:t xml:space="preserve">Famar, Famar Montreal, and Famar Nederland by  </w:t>
        <w:br/>
        <w:t xml:space="preserve">Delpharm Industrie  </w:t>
        <w:br/>
        <w:t xml:space="preserve">The Competition Authority,  </w:t>
        <w:br/>
        <w:t xml:space="preserve">Having regard to the complete notification file submitted to the mergers department on October 18, 2019,  </w:t>
        <w:br/>
        <w:t xml:space="preserve">concerning the exclusive control acquisition of three business assets of the Famar group as well as the  </w:t>
        <w:br/>
        <w:t xml:space="preserve">shares of the companies Famar Montreal and Famar Nederland by Delpharm Industrie, formalized by  </w:t>
        <w:br/>
        <w:t xml:space="preserve">a unilateral purchase promise dated October 2, 2019;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parties during the instruction;  </w:t>
        <w:br/>
        <w:t xml:space="preserve">Adopts the following decision:  </w:t>
        <w:br/>
        <w:t xml:space="preserve">1. The notified operation consists of the exclusive control acquisition of the business assets of the Famar group located in L’Aigle (61 300), Saint Rémy sur Avre (28 380), and Orléans (45071) by Delpharm Industrie. It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2. The markets primarily concerned by the operation are those of contract manufacturing of finished pharmaceutical products, which are consistently defined by the decision-making practice of the competition authorities.  </w:t>
        <w:br/>
        <w:t xml:space="preserve">3. Regardless of the segmentation considered, the combined market shares of the parties are below 25%.  </w:t>
        <w:br/>
        <w:t>4. Given the elements of the file and in particular in view of point 384 of the guidelines of the Competition Authority relating to the control of concentrations, the operation is not likely to harm competition.</w:t>
      </w:r>
    </w:p>
    <w:p>
      <w:r>
        <w:t xml:space="preserve">DECIDES  </w:t>
        <w:br/>
        <w:t xml:space="preserve">Sole Article: The operation notified under number 19-254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