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https://www.autoritedelaconcurrence.fr/fr/decision-de-controle-des-concentrations/relative-la-prise-de-controle-exclusif-de-trois-fonds-de-1</w:t>
      </w:r>
    </w:p>
    <w:p>
      <w:r>
        <w:t>Pages translated : 2</w:t>
      </w:r>
    </w:p>
    <w:p/>
    <w:p>
      <w:r>
        <w:rPr>
          <w:b/>
        </w:rPr>
        <w:t>[Pages 1–2]</w:t>
      </w:r>
    </w:p>
    <w:p>
      <w:r>
        <w:t xml:space="preserve">French Republic  </w:t>
        <w:br/>
        <w:t xml:space="preserve">Decision No. 19-DCC-211 of November 14, 2019  </w:t>
        <w:br/>
        <w:t>regarding the exclusive control acquisition of three automobile distribution businesses by the company Amplitude</w:t>
      </w:r>
    </w:p>
    <w:p>
      <w:r>
        <w:t>The Competition Authority,</w:t>
      </w:r>
    </w:p>
    <w:p>
      <w:r>
        <w:t>Having regard to the complete notification file sent to the mergers department on October 16, 2019, concerning the exclusive control acquisition of three automobile distribution businesses owned by the company Parot Automotive by the company Amplitude, materialized by three reciprocal promises of business asset transfers dated September 25, 2019.</w:t>
      </w:r>
    </w:p>
    <w:p>
      <w:r>
        <w:t>Having regard to Book IV of the Commercial Code relating to the freedom of prices and competition, and in particular its Articles L. 430-1 to L. 430-7;</w:t>
      </w:r>
    </w:p>
    <w:p>
      <w:r>
        <w:t>Having regard to the elements transmitted during the investigation by the notifying party;</w:t>
      </w:r>
    </w:p>
    <w:p>
      <w:r>
        <w:t xml:space="preserve">Adopts the following decision:  </w:t>
        <w:br/>
        <w:t xml:space="preserve">1. The notified operation consists of the exclusive control acquisition by the company Amplitude of three automobile dealership businesses of the company Parot Automotive, which distribute the brands Ford and Mitsubishi and are located in Fleury-les-Aubrais (45), Olivet (45), and Saint-Doulchard (18). This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19-245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