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https://www.autoritedelaconcurrence.fr/fr/decision-de-controle-des-concentrations/relative-la-prise-de-controle-exclusif-de-trois-fonds-de-2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21-DCC-67 of April 20, 2021  </w:t>
        <w:br/>
        <w:t xml:space="preserve">regarding the exclusive acquisition of control over three business assets  </w:t>
        <w:br/>
        <w:t xml:space="preserve">belonging to the company Colruyt by the Carrefour group  </w:t>
        <w:br/>
        <w:t xml:space="preserve">The Competition Authority,  </w:t>
        <w:br/>
        <w:t xml:space="preserve">Having regard to the complete notification file submitted to the mergers department on March 24, 2021,  </w:t>
        <w:br/>
        <w:t xml:space="preserve">concerning the exclusive acquisition of control over three business assets belonging to the company Colruyt  </w:t>
        <w:br/>
        <w:t xml:space="preserve">by the Carrefour group, formalized by a promise of sale of the business assets dated February 17,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acquisition of control by the Carrefour group over three  </w:t>
        <w:br/>
        <w:t xml:space="preserve">business assets belonging to the company Colruyt, which operate, under the Colruyt brand,  </w:t>
        <w:br/>
        <w:t xml:space="preserve">supermarkets with areas of 1198 m², 1031 m², and 973 m², located respectively in  </w:t>
        <w:br/>
        <w:t xml:space="preserve">Valenton (94), Périgny-sur-Yerres (94), and Saint-Pathus (77). It constitutes a concentration operation  </w:t>
        <w:br/>
        <w:t xml:space="preserve">within the meaning of 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On the other hand, the retail control thresholds mentioned in II of Article L. 430-2 of the Commercial Code  </w:t>
        <w:br/>
        <w:t xml:space="preserve">are exceeded. This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21-057 is authorized.  </w:t>
        <w:br/>
        <w:t xml:space="preserve">The Vice-President,  </w:t>
        <w:br/>
        <w:t xml:space="preserve">Irène Luc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