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https://www.autoritedelaconcurrence.fr/fr/decision-de-controle-des-concentrations/relative-la-prise-de-controle-exclusif-de-trois-fonds-de-3</w:t>
      </w:r>
    </w:p>
    <w:p>
      <w:r>
        <w:t>Pages translated : 2</w:t>
      </w:r>
    </w:p>
    <w:p/>
    <w:p>
      <w:r>
        <w:rPr>
          <w:b/>
        </w:rPr>
        <w:t>[Pages 1–2]</w:t>
      </w:r>
    </w:p>
    <w:p>
      <w:r>
        <w:t xml:space="preserve">FRENCH REPUBLIC  </w:t>
        <w:br/>
        <w:t xml:space="preserve">Decision No. 21-DCC-94 of June 17, 2021  </w:t>
        <w:br/>
        <w:t xml:space="preserve">regarding the exclusive control acquisition of three car dealership businesses by subsidiaries of the company Synethis  </w:t>
        <w:br/>
        <w:t xml:space="preserve">The Competition Authority,  </w:t>
        <w:br/>
        <w:t xml:space="preserve">Having regard to the notification file submitted to the mergers department on June 1, 2021, concerning the exclusive control acquisition of three businesses owned by Renault Retail Group by the company Synethis, formalized by a letter of intent dated April 27,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three car dealership businesses located in Hyères, La Seyne-sur-Mer, and La Valette-du-Var (83), by subsidiaries of the company Synethis, which is itself active in the sector of distribution and repair of motor vehicles.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The present operation is therefore subject to the provisions of Articles L. 430-3 and following of the Commercial Code relating to economic concentration.  </w:t>
        <w:br/>
        <w:t xml:space="preserve">2. In view of the elements of the file, the operation is not likely to harm competition in the relevant markets.  </w:t>
        <w:br/>
        <w:t>1 The companies Toulon Services Automobiles and La Seyne Services Automobiles.</w:t>
      </w:r>
    </w:p>
    <w:p>
      <w:r>
        <w:t xml:space="preserve">DECIDES  </w:t>
        <w:br/>
        <w:t xml:space="preserve">Sole Article: The operation notified under number 21-093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