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https://www.autoritedelaconcurrence.fr/fr/decision-de-controle-des-concentrations/relative-la-prise-de-controle-exclusif-de-trois-fonds-de-5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21-DCC-265 of December 22, 2021  </w:t>
        <w:br/>
        <w:t xml:space="preserve">regarding the exclusive control acquisition of three business assets under  </w:t>
        <w:br/>
        <w:t xml:space="preserve">the Galeries Lafayette brand, one business asset under the Galeries Lafayette  </w:t>
        <w:br/>
        <w:t xml:space="preserve">L’Outlet brand, and a building located in the city of Pau by the company Financière Immobilière Bordelaise  </w:t>
        <w:br/>
        <w:t xml:space="preserve">The Competition Authority,  </w:t>
        <w:br/>
        <w:t xml:space="preserve">Having regard to the notification file submitted in full to the mergers department on  </w:t>
        <w:br/>
        <w:t xml:space="preserve">November 30, 2021, concerning the exclusive control acquisition of three business assets under  </w:t>
        <w:br/>
        <w:t xml:space="preserve">the Galeries Lafayette brand, one business asset under the Galeries Lafayette  </w:t>
        <w:br/>
        <w:t xml:space="preserve">L’Outlet brand, and a building located in the city of Pau by the company Financière Immobilière  </w:t>
        <w:br/>
        <w:t xml:space="preserve">Bordelaise formalized by a memorandum of understanding dated August 5, 2021;  </w:t>
        <w:br/>
        <w:t xml:space="preserve">Having regard to Book IV of the Commercial Code relating to price and competition freedom, and  </w:t>
        <w:br/>
        <w:t xml:space="preserve">notably its Articles L. 430-1 to L. 430-7;  </w:t>
        <w:br/>
        <w:t xml:space="preserve">Having regard to the supplementary elements submitted by the notifying party during the investigation;  </w:t>
        <w:br/>
        <w:t xml:space="preserve">Adopts the following decision:  </w:t>
        <w:br/>
        <w:t xml:space="preserve">1. The notified operation consists of the exclusive control acquisition, by the company Financière  </w:t>
        <w:br/>
        <w:t xml:space="preserve">Immobilière Bordelaise, of three business assets under the Galeries Lafayette brand located in  </w:t>
        <w:br/>
        <w:t xml:space="preserve">Pau (64), Tours (37), and Rosny-sous-Bois (93), one business asset under the Galeries  </w:t>
        <w:br/>
        <w:t xml:space="preserve">Lafayette L’Outlet brand located in Coquelles (62), and a building located in the city of Pau. It  </w:t>
        <w:br/>
        <w:t xml:space="preserve">constitutes a concentration operation within the meaning of Article L. 430-1 of the Commercial Code.  </w:t>
        <w:br/>
        <w:t xml:space="preserve">Considering the turnover achieved by the concerned companies, the operation does not fall  </w:t>
        <w:br/>
        <w:t xml:space="preserve">under the jurisdiction of the European Union. On the other hand, the control thresholds related to  </w:t>
        <w:br/>
        <w:t xml:space="preserve">retail trade mentioned in II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21-264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