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https://www.autoritedelaconcurrence.fr/fr/decision-de-controle-des-concentrations/relative-la-prise-de-controle-exclusif-de-trois-fonds-de-6</w:t>
      </w:r>
    </w:p>
    <w:p>
      <w:r>
        <w:t>Pages translated : 2</w:t>
      </w:r>
    </w:p>
    <w:p/>
    <w:p>
      <w:r>
        <w:rPr>
          <w:b/>
        </w:rPr>
        <w:t>[Pages 1–2]</w:t>
      </w:r>
    </w:p>
    <w:p>
      <w:r>
        <w:t>FRENCH REPUBLIC</w:t>
        <w:br/>
        <w:t>Decision No. 23-DCC-252 of December 18, 2023</w:t>
        <w:br/>
        <w:t>regarding the exclusive control acquisition of three automobile distribution businesses by the Amplitude group</w:t>
        <w:br/>
        <w:t>The Competition Authority,</w:t>
        <w:br/>
        <w:t>Having regard to the complete notification file submitted to the mergers department on December 1, 2023, concerning the exclusive control acquisition by the Amplitude group of three automobile distribution businesses owned by the company Vista Automobiles, formalized by a transfer contract dated November 9,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Amplitude group of three businesses owned by the company Vista Automobiles and located in Charleville-Mézières (08), Cormontreuil (51), and Reims (51).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23-314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