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https://www.autoritedelaconcurrence.fr/fr/decision-de-controle-des-concentrations/relative-la-prise-de-controle-exclusif-de-trois-fonds-de-7</w:t>
      </w:r>
    </w:p>
    <w:p>
      <w:r>
        <w:t>Pages translated : 2</w:t>
      </w:r>
    </w:p>
    <w:p/>
    <w:p>
      <w:r>
        <w:rPr>
          <w:b/>
        </w:rPr>
        <w:t>[Pages 1–2]</w:t>
      </w:r>
    </w:p>
    <w:p>
      <w:r>
        <w:t xml:space="preserve">FRENCH REPUBLIC  </w:t>
        <w:br/>
        <w:t xml:space="preserve">Decision No. 24-DCC-13 of January 25, 2024  </w:t>
        <w:br/>
        <w:t xml:space="preserve">regarding the exclusive control acquisition of three business assets  </w:t>
        <w:br/>
        <w:t>operated by Go Sport France by the Vinet Family Holding group</w:t>
      </w:r>
    </w:p>
    <w:p>
      <w:r>
        <w:t>The Competition Authority,</w:t>
      </w:r>
    </w:p>
    <w:p>
      <w:r>
        <w:t xml:space="preserve">Having regard to the complete notification file sent to the mergers department on December 11, 2023, concerning the exclusive control acquisition of three business assets, operated by Go Sport France, by the Vinet Family Holding group, formalized by the judgments of the Commercial Court of Grenoble on April 28, 2023;  </w:t>
        <w:br/>
        <w:t>Having regard to Book IV of the Commercial Code relating to freedom of prices and competition, and in particular its Articles L. 430-1 to L. 430-7;</w:t>
      </w:r>
    </w:p>
    <w:p>
      <w:r>
        <w:t xml:space="preserve">Adopts the following decision:  </w:t>
        <w:br/>
        <w:t xml:space="preserve">1. The notified operation consists of the exclusive control acquisition by the Vinet Family Holding group of three business assets operated by Go Sport France, which constitute retail outlets for sporting goods. The operation constitutes a concentration within the meaning of Article L. 430-1 of the Commercial Code. Given the turnover generated by the companies involved, the operation does not fall under the jurisdiction of the European Union. However, the control thresholds mentioned in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23-290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