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https://www.autoritedelaconcurrence.fr/fr/decision-de-controle-des-concentrations/relative-la-prise-de-controle-exclusif-de-trois-fonds-de-8</w:t>
      </w:r>
    </w:p>
    <w:p>
      <w:r>
        <w:t>Pages translated : 2</w:t>
      </w:r>
    </w:p>
    <w:p/>
    <w:p>
      <w:r>
        <w:rPr>
          <w:b/>
        </w:rPr>
        <w:t>[Pages 1–2]</w:t>
      </w:r>
    </w:p>
    <w:p>
      <w:r>
        <w:t xml:space="preserve">FRENCH REPUBLIC  </w:t>
        <w:br/>
        <w:t xml:space="preserve">Decision No. 24-DCC-158 of July 19, 2024  </w:t>
        <w:br/>
        <w:t>regarding the exclusive control acquisition of three business assets under the Intermarché brand by the Carrefour group</w:t>
      </w:r>
    </w:p>
    <w:p>
      <w:r>
        <w:t>The Competition Authority,</w:t>
      </w:r>
    </w:p>
    <w:p>
      <w:r>
        <w:t>Having regard to the complete notification file sent to the mergers department on July 3, 2024, concerning the exclusive control acquisition by the Carrefour group of three business assets under the Intermarché brand located in Lons-le-Saunier (39), Plouaret (22), and Vals-près-le-Puy (43), formalized by a letter of agreement dated February 8, 2024, amended on March 29, 2024, as well as a draft contract for the transfer of business assets;</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Carrefour group of two food retail business assets under the Intermarché brand of hypermarket type located in Lons-le-Saunier (39) and Vals-près-le-Puy (43), as well as one food retail business asset under the Intermarché brand of supermarket type located in Plouaret (22).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24-177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