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https://www.autoritedelaconcurrence.fr/fr/decision-de-controle-des-concentrations/relative-la-prise-de-controle-exclusif-de-trois-fonds-de-9</w:t>
      </w:r>
    </w:p>
    <w:p>
      <w:r>
        <w:t>Pages translated : 2</w:t>
      </w:r>
    </w:p>
    <w:p/>
    <w:p>
      <w:r>
        <w:rPr>
          <w:b/>
        </w:rPr>
        <w:t>[Pages 1–2]</w:t>
      </w:r>
    </w:p>
    <w:p>
      <w:r>
        <w:t xml:space="preserve">FRENCH REPUBLIC  </w:t>
        <w:br/>
        <w:t xml:space="preserve">Decision No. 24-DCC-284 of December 20, 2024  </w:t>
        <w:br/>
        <w:t>regarding the exclusive control acquisition of three automotive businesses by the Riester group</w:t>
      </w:r>
    </w:p>
    <w:p>
      <w:r>
        <w:t>The Competition Authority,</w:t>
      </w:r>
    </w:p>
    <w:p>
      <w:r>
        <w:t>Having regard to the complete notification file submitted to the mergers department on December 4, 2024, concerning the exclusive control acquisition of three automotive businesses by the Riester group formalized by a transfer contract signed on November 29,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Riester group, through two of its subsidiaries, SPDA Riester Automobiles and DB 77, of three businesses of the Citroën-DS and Fiat Chrysler Automobiles brands operated by a subsidiary of the SIMA group, respectively located in Saint-Maximim (60), in the outskirts of Creil (60), and in Clermont-de-l’Oise (60).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24-314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