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https://www.autoritedelaconcurrence.fr/fr/decision-de-controle-des-concentrations/relative-la-prise-de-controle-exclusif-de-vingt-et-un-fonds</w:t>
      </w:r>
    </w:p>
    <w:p>
      <w:r>
        <w:t>Pages translated : 2</w:t>
      </w:r>
    </w:p>
    <w:p/>
    <w:p>
      <w:r>
        <w:rPr>
          <w:b/>
        </w:rPr>
        <w:t>[Pages 1–2]</w:t>
      </w:r>
    </w:p>
    <w:p>
      <w:r>
        <w:t xml:space="preserve">FRENCH REPUBLIC  </w:t>
        <w:br/>
        <w:t xml:space="preserve">Decision No. 16-DCC-203 of December 6, 2016  </w:t>
        <w:br/>
        <w:t xml:space="preserve">regarding the exclusive acquisition of control over twenty-one retail business assets for bazaar products by Centrakor Stores  </w:t>
        <w:br/>
        <w:t xml:space="preserve">The Competition Authority,  </w:t>
        <w:br/>
        <w:t xml:space="preserve">Having regard to the complete notification file submitted to the mergers department on November 2, 2016, concerning the exclusive acquisition of control over twenty-one retail business assets for bazaar products by Centrakor Stores, formalized by a letter of intent dated May 18, 2016, and a framework transfer agreement dated November 9,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acquisition of control by Centrakor Stores over twenty-one retail business assets for bazaar products under the Centrakor brand located in Saint Genis Pouilly (01), Barberey Saint Sulpice (10), Marsannay-la-Côte (21), Caer Normanville (27), Saint Martin d’Heres (38), Domarin (38), Saint-Egreve (38), Reims (51), Lunéville (54), Essey-les-Nancy (54), Vandoeuvre les Nancy (54), Terville (57), Saint-Avold (57), Grosbliederstroff (57), Sarrebourg (57), Metz (57), Sainte Marie aux Chênes (57), Silingy (74), Epinal (88), Sainte Marguerite (88) and Belfort (90).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notified operation under number 16-231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