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https://www.autoritedelaconcurrence.fr/fr/decision-de-controle-des-concentrations/relative-la-prise-de-controle-exclusif-de-vitafrais-par</w:t>
      </w:r>
    </w:p>
    <w:p>
      <w:r>
        <w:t>Pages translated : 11</w:t>
      </w:r>
    </w:p>
    <w:p/>
    <w:p>
      <w:r>
        <w:rPr>
          <w:b/>
        </w:rPr>
        <w:t>[Pages 1–3]</w:t>
      </w:r>
    </w:p>
    <w:p>
      <w:r>
        <w:t xml:space="preserve">FRENCH REPUBLIC  </w:t>
        <w:br/>
        <w:t xml:space="preserve">Decision No. 16-DCC-86 of June 20, 2016  </w:t>
        <w:br/>
        <w:t xml:space="preserve">regarding the exclusive control of Vitafrais by Organic Alliance  </w:t>
        <w:br/>
        <w:t xml:space="preserve">The Competition Authority,  </w:t>
        <w:br/>
        <w:t xml:space="preserve">Having regard to the notification file submitted in full to the merger service on May 17, 2016, regarding the exclusive control by the company Organic Alliance of the company Vitafrais, formalized by a share transfer agreement dated March 15,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Organic Alliance is a holding company whose purpose is to acquire direct or indirect interests in any company, particularly commercial or industrial. In this capacity, it notably controls the company Pronatura, specialized in the wholesale trade of fruits and vegetables from organic farming. [Confidential], which operates in the banking and insurance sectors.  </w:t>
        <w:br/>
        <w:t xml:space="preserve">2. Vitafrais is a simplified joint-stock company [confidential]. Vitafrais is engaged in the wholesale trade of fresh and ultra-fresh products exclusively from organic farming, distributed across ten categories: dairy, meats, plant specialties, delicatessen, dried fruits, baking, seafood, frozen products, and beverages.  </w:t>
        <w:br/>
        <w:t>3. The notified operation, which consists of the acquisition of all shares of Vitafrais by Organic Alliance, is formalized by the signing of a share transfer agreement between Organic Alliance, on the one hand, and the shareholders of Vitafrais [confidential] on the other hand, dated March 15, 2016.</w:t>
      </w:r>
    </w:p>
    <w:p>
      <w:r>
        <w:t xml:space="preserve">4. In that it results in the exclusive control of Vitafrais by Organic Alliance, the operation constitutes a concentration operation within the meaning of Article L.430-1 of the Commercial Code.  </w:t>
        <w:br/>
        <w:t xml:space="preserve">5. The companies concerned together achieve a total worldwide turnover excluding taxes of more than 150 million euros (BPCE: [...] euros for the fiscal year ending December 31, 2015; Vitafrais: [...] euros for the same fiscal year). Each of these companies has achieved a turnover in France exceeding 50 million euros (BPCE: [...] euros for the fiscal year ending December 31, 2015; Vitafrais: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PRODUCT AND SERVICE MARKETS  </w:t>
        <w:br/>
        <w:t xml:space="preserve">6. The parties are both active in the wholesale trade of food products from organic farming. They are simultaneously active in the upstream markets for the supply of food products (1) and the intermediate markets for wholesale distribution of food products (2).  </w:t>
        <w:br/>
        <w:t xml:space="preserve">1. UPSTREAM MARKETS FOR THE SUPPLY OF FOOD PRODUCTS  </w:t>
        <w:br/>
        <w:t xml:space="preserve">7. Regarding the upstream supply markets, decisional practice delineates as many relevant markets as there are groups of products1. For fresh food products, the following are distinguished2: dairy products, charcuterie and delicatessen products, seafood products, fruits and vegetables, and meat products.  </w:t>
        <w:br/>
        <w:t xml:space="preserve">8. For certain food products (notably chicken eggs3, poultry4, milk5, fresh cream6), decisional practice has identified a specific market for these products from organic farming. The question of whether, for each of the aforementioned product categories, it is appropriate to recognize the existence of a specific market for products from organic farming may remain open in this case, as the conclusions of the competitive analysis remain unchanged regardless of the hypothesis retained.  </w:t>
        <w:br/>
        <w:t xml:space="preserve">9. European decisional practice7 has also considered a segmentation of upstream supply markets based on distribution channels. In its Carrefour/Promodès decision, the European Commission8 noted that "there are serious indications to suggest that certain supply markets can also be defined based on distribution channels, such that the supply of the food retail sector could constitute an autonomous market." The Competition Authority9 has also considered the existence of a market for the supply of food products intended for the large and medium-sized retail sector (GMS), distinct from the supply of food products intended for out-of-home catering (RHD).  </w:t>
        <w:br/>
        <w:t xml:space="preserve">10. The question of the precise delineation of food supply markets can in any case be left open as the conclusions of the competitive analysis remain unchanged regardless of the segmentations considered.  </w:t>
        <w:br/>
        <w:t xml:space="preserve">11. In this case, the parties are simultaneously active as buyers in the supply markets for food products from organic farming of different categories (fresh products, beverages, and dry products) for distribution to GMS and RHD.  </w:t>
        <w:br/>
        <w:t xml:space="preserve">2. DOWNSTREAM MARKETS FOR WHOLESALE DISTRIBUTION OF FOOD PRODUCTS  </w:t>
        <w:br/>
        <w:t xml:space="preserve">12. Downstream, regarding the wholesale distribution of food products, decisional practice10 has repeatedly recognized the existence of distinct markets by distribution channel: large retail and food-dominant businesses (GMS), out-of-home catering (RHD), and the agri-food industry (IAA).  </w:t>
        <w:br/>
        <w:t xml:space="preserve">13. Furthermore, decisional practice has identified a specific market for products from organic farming for certain food products (chicken eggs, poultry, milk, fresh cream), while leaving the question of the exact segmentation of these markets open.  </w:t>
        <w:br/>
        <w:t xml:space="preserve">1 Decision of the Commission COMP/M.2115 of September 28, 2000 - Carrefour/GB.  </w:t>
        <w:br/>
        <w:t xml:space="preserve">2 Decision of the Authority No. 10-DCC-158 of November 22, 2010 regarding the exclusive control of nine companies of the Van de Woestyne group by the Les Maîtres Laitiers du Cotentin group.  </w:t>
        <w:br/>
        <w:t xml:space="preserve">3 See in particular the decisions of the Authority No. 09-DCC-91 of December 24, 2009 regarding the joint control of the companies Nutréa, Peigne, UCA, Couvoirs de Cléden, and Univol by the Coopagri Bretagne and Terrena groups, No. 11-DCC-154 of October 24, 2011 regarding the exclusive control of the company Financière du Forest, holding of the GAD group, by the Centrale Coopérative Agricole Bretonne, No. 13-DCC-156 of October 31, 2013 regarding the creation of a joint venture by the company Aviculteurs Associés and the company Appro, and No. 14-DCC-02 of January 6, 2014 regarding the exclusive control of the company Matines, certain assets of the companies Houel and Fermiers de Bretagne, and eight egg packaging centers by the company Glon Sanders Holding.  </w:t>
        <w:br/>
        <w:t xml:space="preserve">4 See in particular the decisions of the Authority No. 13-DCC-13 of February 12, 2013 regarding the control of certain assets of the Doux group by the company Glon Sanders Holding and No. 15-DCC-14 of February 24, 2015 regarding the acquisition by LDC Volaille of the slaughtering and marketing assets of poultry from the Glon Sanders group.  </w:t>
        <w:br/>
        <w:t xml:space="preserve">5 See in particular the decisions of the Authority No. 12-DCC-83 of June 13, 2012 regarding the merger between Nordmilch eG, Humana Milchunion eG, and Molkereigenossenschaft Bad Bibra eG, No. 13-DCC-97 of July 22, 2013 regarding the joint control of the companies Eurial SAS and Filae SAS by the cooperative groups Agrial and Eurial, and No. 13-DCC-162 of November 15, 2013 regarding the exclusive control of the agricultural cooperative Alliance Agro Alimentaire Coopérative by the cooperative Sodiaal Union, and the decision of the Commission No. COMP/M.5046 - Friesland Foods/Campina of December 17, 2008.  </w:t>
        <w:br/>
        <w:t xml:space="preserve">6 See in particular the decisions of the Authority No. 13-DCC-97 and No. 13-DCC-162 mentioned above.  </w:t>
        <w:br/>
        <w:t xml:space="preserve">7 Decision of the Commission COMP/M.1221 of February 3, 1999 - Rewe / Meinl.  </w:t>
        <w:br/>
        <w:t xml:space="preserve">8 Decision of the Commission COM/M.1684 of January 25, 2000 - Carrefour / Promodès.  </w:t>
        <w:br/>
        <w:t xml:space="preserve">9 Decisions of the Authority No. 13-DCC-90 of July 11, 2013 regarding the exclusive control of the company Monoprix by the company Casino Guichard-Perrachon, No. 14-DCC-173 of November 21, 2014 regarding the control of the company Dia France SAS by the company Carrefour France SAS, No. 15-DCC-80 of June 26, 2015 regarding the control by Pomona SA of eight members of the Relais d’Or Miko network and the company Lux Frais, and No. 15-DCC-141 of October 27, 2015 regarding the exclusive control of Davigel by Bain Capital.  </w:t>
        <w:br/>
        <w:t>10 Decisions of the Commission COMP/M.1802 of March 8, 2000 - Unilever/Amora Maille and COMP/M.1990 of September 28, 2000 - Unilever/Bestfoods and decisions of the Authority No. 10-DCC-158 of November 22, 2010 regarding the exclusive control of nine companies of the Van de Woestyne group by the Les Maîtres Laitiers du Cotentin group, No. 15-DCC-80 of June 26, 2015 regarding the control by Pomona SA of eight members of the Relais d’Or Miko network and the company Lux Frais, and No. 15-DCC-141 of October 27, 2015 regarding the exclusive control of Davigel by Bain Capital.</w:t>
      </w:r>
    </w:p>
    <w:p>
      <w:r>
        <w:rPr>
          <w:b/>
        </w:rPr>
        <w:t>[Pages 4–6]</w:t>
      </w:r>
    </w:p>
    <w:p>
      <w:r>
        <w:t>14. Finally, national decision-making practice distinguishes four major families of products within the wholesale trade of food products: (1) fresh products, (2) beverages, (3) frozen products and ice creams, and (4) grocery products and confectionery (hereinafter "dry products").</w:t>
      </w:r>
    </w:p>
    <w:p>
      <w:r>
        <w:t>15. In this case, the parties simultaneously distribute fresh products (a), beverages (b), and dry products (c) derived from organic farming, to large and medium-sized retailers (GMS) and out-of-home catering (RHD).</w:t>
      </w:r>
    </w:p>
    <w:p>
      <w:r>
        <w:t>a) The wholesale distribution markets for fresh products</w:t>
      </w:r>
    </w:p>
    <w:p>
      <w:r>
        <w:t>16. Within the wholesale distribution market for fresh products, decision-making practice considers fruits and vegetables, seafood products, delicatessen products, dairy products (Butter-Egg-Cheese hereinafter "BOF"), and meat products as distinct markets.</w:t>
      </w:r>
    </w:p>
    <w:p>
      <w:r>
        <w:t>The wholesale distribution market for fruits and vegetables</w:t>
      </w:r>
    </w:p>
    <w:p>
      <w:r>
        <w:t>17. The decisional practice has distinguished, within the market for fresh products, the trade of fruits and vegetables, taking into account its specific transport conditions or pricing methods.</w:t>
      </w:r>
    </w:p>
    <w:p>
      <w:r>
        <w:t>18. The decisional practice also segments according to the technology used for processing fruits and vegetables. It has thus identified five distinct markets: fresh fruits and vegetables (1st range), canned fruits and vegetables (2nd range), frozen fruits and vegetables (3rd range), fresh, raw, washed, and peeled fruits and vegetables (4th range), as well as sterilized and vacuum-pasteurized fruits and vegetables (5th range). Such segmentation is based on the existence of price differences and modes of preservation and use between these different types of products.</w:t>
      </w:r>
    </w:p>
    <w:p>
      <w:r>
        <w:t>19. In this case, the parties are simultaneously present in the wholesale distribution market for organic fruits and vegetables intended for GMS (all ranges combined, with no overlap between the ranges) and for RHD (all ranges combined, with overlap for the 3rd and 5th ranges).</w:t>
      </w:r>
    </w:p>
    <w:p>
      <w:r>
        <w:t>The wholesale distribution market for fresh delicatessen products</w:t>
      </w:r>
    </w:p>
    <w:p>
      <w:r>
        <w:t>20. Regarding GMS, the decisional practice segments the market for the distribution of delicatessen products based on product categories and recipes, distinguishing starters (1st category), prepared dishes (2nd category), savory tarts (3rd category), household pasta (4th category), pasta and sauces (5th category), delicatessen salads (6th category), breaded products (7th category), snacks (8th category), and others (9th category). The relevance of such segmentation could also be questioned for the market of delicatessen products in RHD. However, it may be left open in this case as the conclusions of the competitive analysis remain unchanged.</w:t>
      </w:r>
    </w:p>
    <w:p>
      <w:r>
        <w:t>21. In this case, the parties are simultaneously present in the wholesale distribution market for fresh delicatessen products derived from organic farming intended for GMS (all categories combined, with an overlap of activity for the 6th and 9th categories).</w:t>
      </w:r>
    </w:p>
    <w:p>
      <w:r>
        <w:t>The wholesale distribution market for BOF and meat products</w:t>
      </w:r>
    </w:p>
    <w:p>
      <w:r>
        <w:t>22. The Authority has considered distinguishing within the market for fresh products a market for the distribution of BOF and a market for the distribution of meat products. It has noted that professionals in the sector continue to differentiate these products and that a significant portion of distributors specialize in each of these categories.</w:t>
      </w:r>
    </w:p>
    <w:p>
      <w:r>
        <w:t>23. In this case, both parties are active in the wholesale distribution markets for organic BOF and meat products to GMS.</w:t>
      </w:r>
    </w:p>
    <w:p>
      <w:r>
        <w:t>b) The wholesale distribution market for beverages</w:t>
      </w:r>
    </w:p>
    <w:p>
      <w:r>
        <w:t>24. The decisional practice has questioned the relevance of segmenting the market for beverage distribution in RHD, particularly between hot beverages, non-alcoholic cold beverages, or alcoholic beverages. It has noted in this regard that professionals in RHD do not differentiate wholesalers based on the type of beverages but generally source from the same wholesaler for all the beverages they market. However, it has not definitively resolved the question of this segmentation.</w:t>
      </w:r>
    </w:p>
    <w:p>
      <w:r>
        <w:t>25. In this case, the question of a finer segmentation of the wholesale beverage distribution market may be left open as the conclusions of the competitive analysis remain unchanged regardless of the delimitations adopted.</w:t>
      </w:r>
    </w:p>
    <w:p>
      <w:r>
        <w:t>26. The parties are simultaneously active in the markets for the distribution of beverages derived from organic farming to GMS.</w:t>
      </w:r>
    </w:p>
    <w:p>
      <w:r>
        <w:t>c) The wholesale distribution market for dry products</w:t>
      </w:r>
    </w:p>
    <w:p>
      <w:r>
        <w:t>27. The Authority has questioned the relevance of a finer segmentation of the wholesale distribution market for dry products, particularly between confectionery, savory snacks, and sweet snacks. It has noted that these products are subject to the same conditions of preservation, storage, and transport. Furthermore, it has indicated that professionals in RHD must have a complete range of products and that, moreover, all wholesalers, except for very specific exceptions, are able to offer and sell these three categories. However, it has not definitively resolved the question of the relevance of this segmentation.</w:t>
      </w:r>
    </w:p>
    <w:p>
      <w:r>
        <w:t>28. In this case, the question of a finer segmentation of the wholesale distribution market for dry products may be left open as the conclusions of the competitive analysis remain unchanged regardless of the delimitations considered. The parties are simultaneously active in the wholesale distribution markets for dry products derived from organic farming to GMS.</w:t>
      </w:r>
    </w:p>
    <w:p>
      <w:r>
        <w:t>B. GEOGRAPHIC MARKETS</w:t>
      </w:r>
    </w:p>
    <w:p>
      <w:r>
        <w:t>1. UPSTREAM MARKETS FOR THE SUPPLY OF FOOD PRODUCTS</w:t>
      </w:r>
    </w:p>
    <w:p>
      <w:r>
        <w:t>29. The decisional practice considers that the upstream markets for the supply of food products are national in scope. It has thus observed that consumer preferences, tastes, and eating habits, price differences, variations in market shares held by major operators according to Member States, and the presence of manufacturer or distributor brands marketed only nationally do not allow for a European market dimension to be retained.</w:t>
      </w:r>
    </w:p>
    <w:p>
      <w:r>
        <w:t>2. DOWNSTREAM MARKETS FOR WHOLESALE DISTRIBUTION OF FOOD PRODUCTS</w:t>
      </w:r>
    </w:p>
    <w:p>
      <w:r>
        <w:t>30. The national decisional practice has considered that the markets for wholesale distribution of fresh products have a local dimension, particularly given the need to organize deliveries from platforms, the cost of transport, the frequency of deliveries within constrained timeframes (for example, one to two deliveries per week for dairy products), and the existence of a large number of small clients that require a tight territorial network.</w:t>
      </w:r>
    </w:p>
    <w:p>
      <w:r>
        <w:t>31. Regarding the markets for wholesale distribution of food products in RHD, the decisional practice considers that they have a dual geographical dimension: a national dimension, resulting from the characteristics of the demand from major accounts in RHD, which negotiate their supply conditions at the national level; and a local dimension leading to the determination of catchment areas in which wholesalers compete to meet the demand of CHR and local shops. The decisional practice has thus retained catchment areas with a radius ranging from 60 to 300 kilometers, depending on the case.</w:t>
      </w:r>
    </w:p>
    <w:p>
      <w:r>
        <w:t>32. In this case, across all distribution channels, the parties to the operation negotiate with their main clients (notably major accounts, platforms, or purchasing centers) at the national level.</w:t>
      </w:r>
    </w:p>
    <w:p>
      <w:r>
        <w:t>33. Vitafrais outsources its logistics through two logistics platforms, located in Brignais (Rhône) and Chilly-Mazarin (Essonne). No rigid and definitive territorial distribution is established for the purpose of delivering clients across the national territory, such that each platform is capable of delivering to the entire national territory.</w:t>
      </w:r>
    </w:p>
    <w:p>
      <w:r>
        <w:t>34. Pronatura, for its part, has six logistics platforms located in Cavaillon (Vaucluse), Perpignan (Pyrénées-Orientales), Rungis (Val-de-Marne), Nantes (Loire-Atlantique), Plouha (Côtes d’Armor), and Reischtett (Bas-Rhin).</w:t>
      </w:r>
    </w:p>
    <w:p>
      <w:r>
        <w:t>35. The parties therefore consider that the markets for wholesale distribution of food products are national in scope as the negotiations of the conditions...</w:t>
      </w:r>
    </w:p>
    <w:p>
      <w:r>
        <w:rPr>
          <w:b/>
        </w:rPr>
        <w:t>[Pages 7–9]</w:t>
      </w:r>
    </w:p>
    <w:p>
      <w:r>
        <w:t>d’approvisionnement des clients are carried out at the national level and where each of their logistics platforms is capable of delivering throughout the entire territory.</w:t>
      </w:r>
    </w:p>
    <w:p>
      <w:r>
        <w:t>36. In this case, the precise delineation of the relevant markets may, however, remain open insofar as, regardless of the market dimension retained, the conclusions of the competitive analysis remain unchanged.</w:t>
      </w:r>
    </w:p>
    <w:p>
      <w:r>
        <w:t>37. In order to examine the consequences of the operation at the local level, the parties propose to retain a catchment area with a radius of 200 kilometers as they believe this corresponds to the operational radius of the logistics platforms. Furthermore, the distance of 200 kilometers can easily be covered in less than a day, which corresponds to the usual constraint in terms of delivery times for products with the shortest shelf life.</w:t>
      </w:r>
    </w:p>
    <w:p>
      <w:r>
        <w:t>38. The conclusions of the competitive analysis conducted in this case on areas with a radius of 200 kilometers remain unchanged regardless of the dimensions of the catchment areas retained, from 60 to 300 kilometers in radius.</w:t>
      </w:r>
    </w:p>
    <w:p>
      <w:r>
        <w:t>39. At the local level, the activities of the parties overlap only in two areas:</w:t>
        <w:br/>
        <w:t>- a first area around the platforms of Chilly-Mazarin and Rungis (hereinafter "area 1"), including the following regions: Centre, Champagne-Ardenne, Ile de France, Nord-Pas-de-Calais, and Picardie, and</w:t>
        <w:br/>
        <w:t>- a second area around the platforms of Brignais and Cavaillon (hereinafter "area 2"), including the following regions: Auvergne, Bourgogne, Languedoc-Roussillon, Provence-Alpes-Côte d’Azur, and Rhône-Alpes.</w:t>
      </w:r>
    </w:p>
    <w:p>
      <w:r>
        <w:t>40. The competitive analysis of the effects of the operation on the wholesale distribution markets of food products will be conducted both at the national level and at the local level on the catchment areas as defined by the parties.</w:t>
      </w:r>
    </w:p>
    <w:p>
      <w:r>
        <w:t>III. Competitive Analysis</w:t>
      </w:r>
    </w:p>
    <w:p>
      <w:r>
        <w:t>41. The parties are both active in the sector of supply and distribution of food products exclusively derived from organic farming.</w:t>
      </w:r>
    </w:p>
    <w:p>
      <w:r>
        <w:t>A. UPSTREAM MARKETS FOR THE SUPPLY OF FOOD PRODUCTS</w:t>
      </w:r>
    </w:p>
    <w:p>
      <w:r>
        <w:t>42. The table below summarizes the market shares of the parties in the markets for the supply of food products segmented according to distribution channels and product categories where their activities overlap.</w:t>
      </w:r>
    </w:p>
    <w:p>
      <w:r>
        <w:t>Market shares of the parties in the market for the supply of food products derived from organic farming</w:t>
        <w:br/>
        <w:t>Product Categories Organic Alliance / Vitafrais Total</w:t>
      </w:r>
    </w:p>
    <w:p>
      <w:r>
        <w:t>[confidential]</w:t>
        <w:br/>
        <w:t>GMS</w:t>
        <w:br/>
        <w:t>Fresh products: fruits and vegetables [20-30] % [0-5] % [20-30] %</w:t>
        <w:br/>
        <w:t>Fresh products: perishable self-service products [0-5] % [0-5] % [0-5] %</w:t>
        <w:br/>
        <w:t>(fresh delicatessen products, BOF, and meat products)</w:t>
        <w:br/>
        <w:t>Beverages [0-5] % [0-5] % [0-5] %</w:t>
        <w:br/>
        <w:t>Dry products [0-5] % [0-5] % [0-5] %</w:t>
      </w:r>
    </w:p>
    <w:p>
      <w:r>
        <w:t>RHD</w:t>
        <w:br/>
        <w:t>Fresh products: fruits and vegetables [5-10] % [0-5] % [10-20] %</w:t>
        <w:br/>
        <w:t>Dry products [0-5] % [0-5] % [0-5] %</w:t>
      </w:r>
    </w:p>
    <w:p>
      <w:r>
        <w:t>43. In these upstream markets for the supply of food products derived from organic farming, the market share of the new entity will be less than [20-30] %, with the operation resulting in a market share increment of less than [0-5] points, regardless of the market segmentation retained.</w:t>
      </w:r>
    </w:p>
    <w:p>
      <w:r>
        <w:t>44. Consequently, the operation is not likely to harm competition through horizontal effects in the upstream markets for the supply of food products.</w:t>
      </w:r>
    </w:p>
    <w:p>
      <w:r>
        <w:t>B. ON THE DOWNSTREAM MARKETS FOR WHOLESALE DISTRIBUTION OF FOOD PRODUCTS</w:t>
      </w:r>
    </w:p>
    <w:p>
      <w:r>
        <w:t>1. AT THE NATIONAL LEVEL</w:t>
      </w:r>
    </w:p>
    <w:p>
      <w:r>
        <w:t>45. The table below summarizes the market shares of the parties in the national markets for wholesale distribution of food products derived from organic farming segmented according to distribution channels and product categories, where the activities of the parties overlap.</w:t>
      </w:r>
    </w:p>
    <w:p>
      <w:r>
        <w:t>Market shares of the parties in the market for wholesale distribution of food products derived from organic farming at the national level</w:t>
        <w:br/>
        <w:t>Product Categories Organic Alliance / Vitafrais Total</w:t>
      </w:r>
    </w:p>
    <w:p>
      <w:r>
        <w:t>[confidential]</w:t>
        <w:br/>
        <w:t>GMS</w:t>
        <w:br/>
        <w:t>Fresh products: fruits and vegetables [20-30] % [0-5] % [20-30] %</w:t>
      </w:r>
    </w:p>
    <w:p>
      <w:r>
        <w:t>Fresh products: fresh delicatessen products: [0-5] % [10-20] % [10-20] %</w:t>
        <w:br/>
        <w:t>- 6th range [0-5] % [10-20] % [10-20] %</w:t>
        <w:br/>
        <w:t>- 9th range [0-5] % [10-20] % [10-20] %</w:t>
        <w:br/>
        <w:t>Fresh products: BOF and meat products [0-5] % [5-10] % [5-10] %</w:t>
        <w:br/>
        <w:t>Fresh products: beverages [0-5] % [0-5] % [0-5] %</w:t>
        <w:br/>
        <w:t>Fresh products: dry products [0-5] % [0-5] % [0-5] %</w:t>
      </w:r>
    </w:p>
    <w:p>
      <w:r>
        <w:t>RHD</w:t>
        <w:br/>
        <w:t>Fresh products: fruits and vegetables: [5-10] % [0-5] % [10-20] %</w:t>
        <w:br/>
        <w:t>- 3rd range [0-5] % [10-20] % [10-20] %</w:t>
        <w:br/>
        <w:t>- 5th range [0-5] % [0-5] % [0-5] %</w:t>
      </w:r>
    </w:p>
    <w:p>
      <w:r>
        <w:t>46. In each segment of the national market for wholesale distribution of food products derived from organic farming, the new entity will hold a market share of less than [20-30] %, with the operation resulting in a market share increment of less than [0-5] points, regardless of the market segmentation retained.</w:t>
      </w:r>
    </w:p>
    <w:p>
      <w:r>
        <w:t>47. Consequently, the operation is not likely to harm competition through horizontal effects in the wholesale distribution markets of food products at the national level.</w:t>
      </w:r>
    </w:p>
    <w:p>
      <w:r>
        <w:t>2. ON THE LOCAL MARKETS</w:t>
      </w:r>
    </w:p>
    <w:p>
      <w:r>
        <w:t>48. The table below summarizes the market shares of the parties in the various markets for wholesale distribution of food products segmented according to distribution channels and product categories, in the local market "area 1".</w:t>
      </w:r>
    </w:p>
    <w:p>
      <w:r>
        <w:t>Market shares of the parties in the market for wholesale distribution of food products derived from organic farming at the local level</w:t>
        <w:br/>
        <w:t>- Area 1 -</w:t>
        <w:br/>
        <w:t>Product Categories Organic Alliance / Vitafrais Total</w:t>
      </w:r>
    </w:p>
    <w:p>
      <w:r>
        <w:t>[confidential]</w:t>
        <w:br/>
        <w:t>GMS</w:t>
        <w:br/>
        <w:t>Fresh products: fruits and vegetables [10-20] % [0-5] % [10-20] %</w:t>
        <w:br/>
        <w:t>Fresh products: delicatessen products [0-5] % [10-20] % [10-20] %</w:t>
      </w:r>
    </w:p>
    <w:p>
      <w:r>
        <w:rPr>
          <w:b/>
        </w:rPr>
        <w:t>[Pages 10–11]</w:t>
      </w:r>
    </w:p>
    <w:p>
      <w:r>
        <w:t>- 6th range [0-5] % [10-20] % [10-20] %</w:t>
        <w:br/>
        <w:t>- 9th range [0-5] % [10-20] % [10-20] %</w:t>
        <w:br/>
        <w:t>Fresh products: BOF and meat products [0-5] % [0-5] % [0-5] %</w:t>
        <w:br/>
        <w:t>Beverages [0-5] % [0-5] % [0-5] %</w:t>
        <w:br/>
        <w:t>Dry products [0-5] % [0-5] % [0-5] %</w:t>
        <w:br/>
        <w:t>RHD</w:t>
        <w:br/>
        <w:t>Fresh products: fruits and vegetables: [5-10] % [0-5] % [10-20] %</w:t>
        <w:br/>
        <w:t>- 5th range [5-10] % [0-5] % [5-10] %</w:t>
        <w:br/>
        <w:t>Dry products [0-5] % [0-5] % [0-5] %</w:t>
        <w:br/>
        <w:t>49. It appears that in the local market "zone 1", the market share of the new entity in the various wholesale distribution markets for food products derived from organic farming will be less than [10-20] %, the operation resulting in a market share increment of less than [0-5] points, regardless of the market segmentation retained.</w:t>
        <w:br/>
        <w:t>50. The table below summarizes the market shares of the parties in the various wholesale distribution markets for food products derived from organic farming segmented by distribution channels and product categories, in the local market "zone 2".</w:t>
        <w:br/>
        <w:t>Market shares of the parties in the wholesale distribution market for food products derived from organic farming at the local level</w:t>
        <w:br/>
        <w:t>-Zone 2-</w:t>
        <w:br/>
        <w:t>Organic Alliance /</w:t>
        <w:br/>
        <w:t>Product Categories Vitafrais Total</w:t>
        <w:br/>
        <w:t>[confidential]</w:t>
        <w:br/>
        <w:t>GMS</w:t>
        <w:br/>
        <w:t>Fresh products: fruits and vegetables [30-40] % [0-5] % [30-40] %</w:t>
        <w:br/>
        <w:t>Fresh products: delicatessen products [0-5] % [20-30] % [20-30] %</w:t>
        <w:br/>
        <w:t>- 6th range [0-5] % [30-40] % [30-40] %</w:t>
        <w:br/>
        <w:t>- 9th range [0-5] % [20-30] % [20-30] %</w:t>
        <w:br/>
        <w:t>Fresh products: BOF and meat products [0-5] % [0-5] % [0-5] %</w:t>
        <w:br/>
        <w:t>Beverages [0-5] % [0-5] % [0-5] %</w:t>
        <w:br/>
        <w:t>Dry products [0-5] % [0-5] % [0-5] %</w:t>
        <w:br/>
        <w:t>RHD</w:t>
        <w:br/>
        <w:t>Fresh products: fruits and vegetables: [10-20] % [0-5] % [10-20] %</w:t>
        <w:br/>
        <w:t>- 5th range [0-5] % [0-5] % [0-5] %</w:t>
        <w:br/>
        <w:t>Beverages [0-5] % [0-5] % [0-5] %</w:t>
        <w:br/>
        <w:t>Dry products [0-5] % [0-5] % [0-5] %</w:t>
        <w:br/>
        <w:t>51. The market share of the new entity in most wholesale distribution markets for food products in the local market "zone 2" will remain below [10-20] %, the operation resulting in a market share increment of less than [0-5] point. In the segment and sub-segments of wholesale distribution of fruits and vegetables for GMS, the market share of the new entity following the operation will be between [20-30] % and [30-40] %, but the operation will only result in a very limited market share increment, below [0-5] %.</w:t>
        <w:br/>
        <w:t>52. Consequently, the operation is not likely to harm competition through horizontal effects in the markets for food product distribution at the local level.</w:t>
        <w:br/>
        <w:t>DECIDES</w:t>
        <w:br/>
        <w:t>Sole Article: The operation notified under number 16-066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