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https://www.autoritedelaconcurrence.fr/fr/decision-de-controle-des-concentrations/relative-la-prise-de-controle-exclusif-de-vitalia-par</w:t>
      </w:r>
    </w:p>
    <w:p>
      <w:r>
        <w:t>Pages translated : 10</w:t>
      </w:r>
    </w:p>
    <w:p/>
    <w:p>
      <w:r>
        <w:rPr>
          <w:b/>
        </w:rPr>
        <w:t>[Pages 1–3]</w:t>
      </w:r>
    </w:p>
    <w:p>
      <w:r>
        <w:t xml:space="preserve">FRENCH REPUBLIC  </w:t>
        <w:br/>
        <w:t xml:space="preserve">Decision No. 15-DCC-146 of October 26, 2015  </w:t>
        <w:br/>
        <w:t xml:space="preserve">regarding the exclusive control of Vitalia by Vedici Holding  </w:t>
        <w:br/>
        <w:t>(CVC Capital Partners)</w:t>
      </w:r>
    </w:p>
    <w:p>
      <w:r>
        <w:t xml:space="preserve">The Competition Authority,  </w:t>
        <w:br/>
        <w:t xml:space="preserve">Having regard to the request for referral submitted on August 3, 2015, by Vedici Holding and the referral decision of the European Commission of August 28, 2015, made pursuant to Article 4, paragraph 4 of Regulation (EC) No. 139/2004 of the Council;  </w:t>
        <w:br/>
        <w:t xml:space="preserve">Having regard to the complete notification file submitted to the merger control service on September 25, 2015, regarding the exclusive control of Vitalia by Vedici Holding, formalized by a purchase promise, signed on July 16, 2015, to which a purchase and sale contract is attached;  </w:t>
        <w:br/>
        <w:t xml:space="preserve">Having regard to Book IV of the Commercial Code relating to the freedom of prices and competition, and in particular its Articles L. 430-1 to L. 430-10;  </w:t>
        <w:br/>
        <w:t xml:space="preserve">Having regard to the additional elements submitted by the parties during the investigation;  </w:t>
        <w:br/>
        <w:t>Adopts the following decision:</w:t>
      </w:r>
    </w:p>
    <w:p>
      <w:r>
        <w:t xml:space="preserve">I. The concerned companies and the operation  </w:t>
        <w:br/>
        <w:t xml:space="preserve">1. Vedici Holding SAS (hereinafter, "Vedici Holding"), a company under French law, is the holding company of the Vedici group. Since 2014, it has been exclusively controlled by CVC Capital Partners SICAV FIS SA (hereinafter, "CVC"). CVC is an investment fund that holds controlling stakes in numerous companies active in various industries (notably chemicals, production, and distribution) in Europe, the United States, and the Asia-Pacific region. In contrast, CVC does not hold controlling stakes in companies active in upstream, downstream, or related markets where the target is present. The Vedici group operates 34 healthcare establishments located in France. These establishments primarily offer services in medicine, surgery, obstetrics, follow-up and rehabilitation care, and, to a lesser extent, psychiatric care and home hospitalization.  </w:t>
        <w:br/>
        <w:t xml:space="preserve">2. Vitalia Holdco SARL (hereinafter, "Vitalia") is a company under Luxembourg law, which is indirectly 100% owned by The Blackstone Group LP. Vitalia Holdco, through seven wholly-owned subsidiaries (hereinafter, the "target companies"), directly or indirectly controls 41 healthcare establishments located in France as well as a dialysis center located in Monaco. These establishments provide services in medicine, surgery, obstetrics, as well as follow-up and rehabilitation care.  </w:t>
        <w:br/>
        <w:t xml:space="preserve">3. Under the purchase promise dated July 16, 2015, the notified operation consists of the acquisition by Vedici Holding of 100% of the capital of the seven target companies that directly or indirectly control all the healthcare establishments of the Vitalia group. Thus, as noted by the European Commission, the notified operation results in the exclusive control of Vitalia by Vedici.  </w:t>
        <w:br/>
        <w:t xml:space="preserve">4. This operation falls under the jurisdiction of the European Union pursuant to Article 1, paragraph 2 of Regulation (EC) No. 139/2004 of the Council on concentrations. Indeed, the concerned companies have together achieved a consolidated worldwide turnover excluding taxes of more than 5 billion euros (CVC: […] euros for the fiscal year ending December 31, 2014; Vitalia: […] euros for the same fiscal year). Furthermore, each of them has achieved a turnover in the European Union exceeding 250 million euros (CVC: […] euros for the fiscal year ending December 31, 2014; Vitalia: […] euros for the same fiscal year). Finally, only Vitalia has generated more than two-thirds of its turnover in the European Union in a single Member State, France.  </w:t>
        <w:br/>
        <w:t>5. However, on August 3, 2015, Vedici requested the European Commission, by means of a reasoned memorandum, to refer the operation in its entirety to the Competition Authority, pursuant to Article 4, paragraph 4 of Regulation No. 139/2004 of the Council. By decision No. COMP/M.7725 dated August 28, 2015, the European Commission considered that the conditions for referral were met. The exclusive control of Vitalia by Vedici is therefore subject, pursuant to point IV of Article L. 430-2 of the Commercial Code, to French merger control. The notification of the operation was sent to the Competition Authority on September 25, 2015.</w:t>
      </w:r>
    </w:p>
    <w:p>
      <w:r>
        <w:t xml:space="preserve">II. Definition of the relevant markets  </w:t>
        <w:br/>
        <w:t xml:space="preserve">The operation results in an overlap of activities in the sector of providing diagnostics and care in healthcare establishments.  </w:t>
        <w:br/>
        <w:t xml:space="preserve">A. DEFINITION OF THE SERVICE MARKETS  </w:t>
        <w:br/>
        <w:t xml:space="preserve">6. Regarding the markets for the provision of diagnostics and hospital care in France, decision-making practice considers that it is not relevant to distinguish the supply based on whether it comes from private or public establishments. Indeed, in France, the patient is free to choose their establishment, public or private, without economic consideration since the reimbursement of care does not depend on the status of the establishment where the care was provided. Moreover, the generalization of activity-based pricing and the use of complementary health insurance by patients tend to increase patients' freedom of choice regarding the establishment in which they wish to be treated. Furthermore, whether public or private, healthcare establishments are intended to accommodate all patients, without economic or social consideration. Finally, all healthcare establishments established in France are subject to a common regulatory and normative framework that defines the conditions for exercising their activity, regulated at the regional level by the Regional Health Agencies (hereinafter, "ARS") with which they enter into contracts for objectives and means.  </w:t>
        <w:br/>
        <w:t xml:space="preserve">7. However, competition authorities distinguish the markets for the provision of diagnostics and hospital care by type of activity to take into account the strong specialization of practitioners and the services of healthcare establishments, as well as the necessity for a healthcare establishment to obtain specific authorizations from the ARS for the exercise of certain medical or surgical specialties. The practice has thus considered a broad segmentation by "groups of specialized activity" corresponding to the major disciplines defined by the Public Health Code (medicine, surgery, obstetrics, neonatology, psychiatry, follow-up and rehabilitation care, long-term care, oncology and radiotherapy, diagnostic activities).  </w:t>
        <w:br/>
        <w:t>8. The Competition Authority has also considered a narrower segmentation of the markets for diagnostics and hospital care, by "major diagnostic category" (hereinafter, "MDC") according to the classification of procedures established by the ARS. The Competition Authority considered, while leaving the question open, that this segmentation was relevant since it allows for the distinction of all medical acts performed within the framework of the healthcare establishments.</w:t>
      </w:r>
    </w:p>
    <w:p>
      <w:r>
        <w:rPr>
          <w:b/>
        </w:rPr>
        <w:t>[Pages 4–6]</w:t>
      </w:r>
    </w:p>
    <w:p>
      <w:r>
        <w:t>hospital establishments according to both medical and functional criteria, taking into account the parts of the body treated, and economic criteria, with stays or admissions classified in the same group involving the use of similar resources. The Authority has also considered sub-segmenting each of the Major Diagnostic Categories (MDC) based on the presence or absence of a surgical procedure (hereinafter "SP" for surgical procedure present and "NSP" for no surgical procedure).</w:t>
      </w:r>
    </w:p>
    <w:p>
      <w:r>
        <w:t>9. Finally, competition authorities have questioned the existence of distinct markets for the provision of home hospitalization on one hand and the provision of dialysis care on the other. Regarding dialysis activities, it follows from European decision-making practice that this type of care is not likely to be distinguished from other comparable hospital care offerings.</w:t>
      </w:r>
    </w:p>
    <w:p>
      <w:r>
        <w:t>10. In this case, all the delimitations considered by practice will be examined in the context of the analysis of the effects of the operation. In any event, the question of the exact definition of the markets for the provision of diagnostics and hospital care can be left open insofar as the conclusions of the analysis will remain unchanged regardless of the delimitation adopted.</w:t>
      </w:r>
    </w:p>
    <w:p>
      <w:r>
        <w:t>B. GEOGRAPHICAL DELIMITATION OF MARKETS</w:t>
      </w:r>
    </w:p>
    <w:p>
      <w:r>
        <w:t>11. The European Commission, without definitively resolving the issue, suggests that the markets for the provision of diagnostics and hospital care have a local dimension extending to a radius corresponding to a 30-minute car journey.</w:t>
      </w:r>
    </w:p>
    <w:p>
      <w:r>
        <w:t>12. National decision-making practice, taking into account the regulatory instruments used by the Regional Health Agencies (ARS), considers that the markets for the provision of diagnostics and hospital care have a local, departmental, or regional dimension, the scope of which depends on the specialty concerned by the studied healthcare market. Competition authorities have notably observed that the size of the areas from which patients originate varies significantly, not only depending on the establishment and the medical-surgical specialties practiced there, but also depending on the region considered, its population density, and its level of healthcare establishment equipment. The coverage of transportation costs incurred by certain patients by health insurance tends to increase their willingness to travel.</w:t>
      </w:r>
    </w:p>
    <w:p>
      <w:r>
        <w:t>13. It is therefore necessary to examine, on a case-by-case basis, the importance of travel times between the establishments concerned. Thus, in a recent decision, the Authority noted that patients had a travel time not exceeding one hour in certain departments. Similarly, the majority of operators surveyed in the context of the market test conducted in this case indicate that, in the Limousin region, where the operation leads to significant overlaps in market shares, the average journey time for a patient to reach a healthcare establishment is between 30 minutes and one hour.</w:t>
      </w:r>
    </w:p>
    <w:p>
      <w:r>
        <w:t>14. The operation also leads to overlaps in market shares in Ile-de-France, it should be noted that decision-making practice consistently considers this region to constitute a single geographical market and that it is not relevant to distinguish between Paris intramuros and the neighboring departments. It indeed notes that Ile-de-France is characterized by very high patient mobility, particularly given the extensive offer of healthcare establishments and the existence of regional, if not national, attraction centers.</w:t>
      </w:r>
    </w:p>
    <w:p>
      <w:r>
        <w:t>15. In this case, a preliminary analysis of the effects of the operation will be conducted at the regional and departmental levels. For the areas where the concentration results in a significant increase in the notifying party's market share, the geographical delimitation will be refined to more accurately reflect the reality of the journeys made by patients.</w:t>
      </w:r>
    </w:p>
    <w:p>
      <w:r>
        <w:t>III. Competitive Analysis</w:t>
      </w:r>
    </w:p>
    <w:p>
      <w:r>
        <w:t>A. INTRODUCTION</w:t>
      </w:r>
    </w:p>
    <w:p>
      <w:r>
        <w:t>16. To estimate market shares, the notifying party used the national public database of the medicalization program of information systems of the technical agency for hospital information, which compiles statistics from French healthcare establishments.</w:t>
      </w:r>
    </w:p>
    <w:p>
      <w:r>
        <w:t>17. The competitive analysis will therefore primarily rely on examining the market shares of the parties in areas corresponding to the regional and departmental delimitations.</w:t>
      </w:r>
    </w:p>
    <w:p>
      <w:r>
        <w:t>18. As noted by the Authority in previous decisions, the examination of the horizontal effects of the operation must also take into account the specific pricing mechanisms in the relevant markets. Indeed, the tariffs for healthcare services provided by public and private establishments are regulated and set annually at the national level, according to a system of activity-based pricing (known as "T2A"). Each healthcare activity corresponds to a fixed tariff for the service that the establishment can charge. Healthcare establishments cannot deviate from these tariffs. Additional fees for medical procedures are solely at the initiative of the practitioners and not of the establishment in which they carry out their activities. Consequently, private clinics cannot unilaterally increase the tariff of the contracted care they provide. These fixed tariffs concern the vast majority of healthcare services. For the remainder, ancillary services (known as "hotel" services) remain at the discretion of the establishments.</w:t>
      </w:r>
    </w:p>
    <w:p>
      <w:r>
        <w:t>19. In order to assess the parties' ability to degrade the quality of the care offered as well as the effects of the operation on the segment where the parties retain some leeway, it is necessary to examine the competitive proximity of the parties' establishments and the actual behavior of patients in choosing their healthcare facilities in the relevant local areas.</w:t>
      </w:r>
    </w:p>
    <w:p>
      <w:r>
        <w:t>20. At the regional level, the activities of Vedici and Vitalia in the sector of providing diagnostics and hospital care overlap in the regions of Ile-de-France, Midi-Pyrénées, Centre, Brittany, and Limousin.</w:t>
      </w:r>
    </w:p>
    <w:p>
      <w:r>
        <w:t>B. EFFECTS OF THE OPERATION IN ILE-DE-FRANCE AND MIDI-PYRENEES</w:t>
      </w:r>
    </w:p>
    <w:p>
      <w:r>
        <w:t>21. In the Ile-de-France region, Vedici owns eight healthcare establishments located in the departments of Yvelines, Hauts-de-Seine, Seine-Saint-Denis, Val-de-Marne, and Val-d'Oise. Vitalia owns a healthcare establishment located in the department of Seine-et-Marne. The operation therefore results in an overlap of activities at the regional level only. Regardless of the segmentation adopted, the market shares of the new entity following the concentration will remain moderate and below [5-10] %.</w:t>
      </w:r>
    </w:p>
    <w:p>
      <w:r>
        <w:t>22. In the Midi-Pyrénées region, Vedici owns two healthcare establishments, one located in the department of Haute-Garonne and the other located in the department of Tarn-et-Garonne. Vitalia owns three healthcare establishments, two located in the department of Tarn and one located in the department of Gers. The operation therefore results in an overlap of activities at the regional level only. Regardless of the segmentation adopted, the market shares of the new entity following the concentration will not exceed [20-30] %.</w:t>
      </w:r>
    </w:p>
    <w:p>
      <w:r>
        <w:t>23. The operation is therefore not likely to harm competition through horizontal effects in the markets for the provision of diagnostics and hospital care in the regions of Ile-de-France and Midi-Pyrénées.</w:t>
      </w:r>
    </w:p>
    <w:p>
      <w:r>
        <w:t>C. EFFECTS OF THE OPERATION IN THE CENTRE REGION</w:t>
      </w:r>
    </w:p>
    <w:p>
      <w:r>
        <w:t>24. In the Centre region, Vedici owns two healthcare establishments, one in the department of Eure-et-Loir and the other in the department of Loiret. Vitalia is also present in this region through six establishments, three located in the department of Cher, one in the department of Indre, one in the department of Loir-et-Cher, and one in the department of Loiret. The operation therefore results in an overlap of activities at both the regional and departmental levels, in Loiret.</w:t>
      </w:r>
    </w:p>
    <w:p>
      <w:r>
        <w:t>25. At the departmental level, the parties do not operate in the same specialized activity groups: the Loiret establishment of the Vitalia group is active in the segment of follow-up and rehabilitation care, while the establishment of the Vedici group is absent from this segment. Moreover, regarding the overall offer of diagnostics and hospital care, the combined market share of the parties would be [5-10] %.</w:t>
      </w:r>
    </w:p>
    <w:p>
      <w:r>
        <w:t>26. At the regional level, according to segmentation by specialized activity groups and by MDC, the market shares of the new entity following the operation will remain below [20-30] %. According to the sub-segmentation surgical procedure/non-surgical procedure, the market shares of the new entity following the concentration will not exceed [20-30] %.</w:t>
      </w:r>
    </w:p>
    <w:p>
      <w:r>
        <w:rPr>
          <w:b/>
        </w:rPr>
        <w:t>[Pages 7–9]</w:t>
      </w:r>
    </w:p>
    <w:p>
      <w:r>
        <w:t>27. The operation is therefore not likely to harm competition through horizontal effects on the markets for the provision of diagnostics and hospital care in the Centre region.</w:t>
      </w:r>
    </w:p>
    <w:p>
      <w:r>
        <w:t>D. EFFECTS OF THE OPERATION IN THE BRITTANY REGION</w:t>
      </w:r>
    </w:p>
    <w:p>
      <w:r>
        <w:t>28. In the Brittany region, Vedici owns six healthcare establishments, five of which are located in the Finistère department and one in the Côtes d'Armor department. Vitalia is also present in this region with two establishments located in the Morbihan department. The operation therefore results in an overlap of activities at the regional level only.</w:t>
      </w:r>
    </w:p>
    <w:p>
      <w:r>
        <w:t>29. According to the segmentation by specialized activity groups, the market shares of the new entity following the concentration will remain moderate and below [20-30] %. According to the segmentation by Major Diagnostic Categories (MDC), the market shares of the new entity following the concentration will not exceed [20-30] %. Finally, according to the sub-segmentation surgical procedure/non-surgical procedure, the market shares of the new entity following the concentration will not exceed [20-30] %, except for the segment of surgical procedures related to MDC 4 (respiratory system disorders), where the combined market share of the parties will be [40-50] %.</w:t>
      </w:r>
    </w:p>
    <w:p>
      <w:r>
        <w:t>30. However, the parties' establishments do not constitute close competitors in terms of respiratory system disorders as they belong to different population catchment areas. Indeed, the notifying party has provided, for surgical procedures related to MDC 4, the patient leakage rates between the Finistère and Morbihan departments on one hand, and between the Côtes d'Armor and Morbihan departments on the other hand. These rates, below [0-5] %, are low and therefore reflect a strong separation between the territories. The driving times between the parties' establishments are significantly over one hour. Consequently, the operation does not result in any overlap of activities if one considers a driving time of one hour. Therefore, the proposed concentration operation will not lead to a significant change in the structure of the markets and is not likely to harm competition in the segment of surgical procedures related to MDC 4.</w:t>
      </w:r>
    </w:p>
    <w:p>
      <w:r>
        <w:t>31. Finally, in a potential market for home hospitalization, the market share of the new entity following the concentration will remain below [20-30] %.</w:t>
      </w:r>
    </w:p>
    <w:p>
      <w:r>
        <w:t>32. The operation is therefore not likely to harm competition through horizontal effects on the Breton markets for the provision of diagnostics and hospital care.</w:t>
      </w:r>
    </w:p>
    <w:p>
      <w:r>
        <w:t>E. EFFECTS OF THE OPERATION IN THE LIMOUSIN REGION</w:t>
      </w:r>
    </w:p>
    <w:p>
      <w:r>
        <w:t>33. In the Limousin region, Vedici owns three healthcare establishments, two of which are located in the Haute-Vienne department and one in the Corrèze department. Vitalia owns a healthcare establishment located in the Creuse department (the La Marche clinic, located in Guéret). The operation therefore results in an overlap of activities at the regional level, and not at the departmental level.</w:t>
      </w:r>
    </w:p>
    <w:p>
      <w:r>
        <w:t>34. At the regional level, the market shares of the new entity following the operation will exceed 25 % in several segments:</w:t>
        <w:br/>
        <w:t>- according to the segmentation by specialized activity groups, the combined market share of the parties will reach [50-60] % in the surgery segment; according to the segmentation by MDC, the combined market shares of the parties will be between [40-50] % and [70-80] % in categories 2 (eye disorders), 6 (digestive system disorders), 8 (musculoskeletal system and connective tissue disorders), and 12 (male genital system disorders);</w:t>
        <w:br/>
        <w:t>- according to the sub-segmentation surgical procedure/non-surgical procedure, the combined market shares of the parties will be between [40-50] % and [70-80] % for surgical procedures in categories 2 (eye disorders), 3 (ear, nose, throat, mouth, and teeth disorders), 6 (digestive system disorders), 8 (musculoskeletal system and connective tissue disorders), 9 (skin, subcutaneous tissue, and breast disorders), and 12 (male genital system disorders).</w:t>
      </w:r>
    </w:p>
    <w:p>
      <w:r>
        <w:t>35. However, it emerges from the market test that the average travel time for a patient to reach a hospital care establishment in the Limousin region is between 30 minutes and one hour. In this case, two clinics involved in the operation belong to different population catchment areas. Indeed, the travel times between the Vitalia La Marche clinic, located in Guéret, and the Vedici Les Cèdres clinic, located in Brive-la-Gaillarde, are significantly over one hour. Moreover, the leakage rates between the establishments in Guéret and those in Brive-la-Gaillarde are below [0-5] %, indicating a strong separation between these cities. Consequently, the regional dimension does not reflect, in this case, the reality of the journeys made by patients.</w:t>
      </w:r>
    </w:p>
    <w:p>
      <w:r>
        <w:t>36. Therefore, it is appropriate to conduct the competitive analysis using a narrower geographical delineation. During the investigation, the notifying party provided an analysis covering an area corresponding to a one-hour travel time around the Vitalia target establishment located in Guéret. In this configuration, according to the segmentation by specialized activity groups, the combined market share of the parties will reach [70-80] % in the surgery segment, while according to the segmentation by MDC, the combined market shares of the parties will be between [40-50] % and [80-90] % in categories 2, 3, 6, 8, 12, and 13.</w:t>
      </w:r>
    </w:p>
    <w:p>
      <w:r>
        <w:t>37. However, the parties' establishments do not constitute close competitors. It is therefore necessary to successively examine the competitive interactions between, on one hand, the acquirer's establishments located in Haute-Vienne, and on the other hand, those of the target located in Allier and Creuse.</w:t>
      </w:r>
    </w:p>
    <w:p>
      <w:r>
        <w:t>38. Firstly, there is very little competitive proximity between the Vitalia clinics located in Allier, in Montluçon and Desertines, and the Vedici clinics located in Haute-Vienne, in Limoges, as they belong to different population catchment areas. Indeed, the driving times between these establishments are significantly over one hour. Moreover, the Auvergne ARS has communicated the leakage rates between the Allier and Haute-Vienne departments. These leakage rates are below [0-5] %, indicating a strong separation between these territories. Consequently, the Vitalia clinics in Montluçon and Desertines and the Vedici clinics in Limoges do not constitute close alternatives for patients.</w:t>
      </w:r>
    </w:p>
    <w:p>
      <w:r>
        <w:t>39. Secondly, regarding the competitive interaction between the Vitalia clinic located in Guéret (Creuse) and the Vedici clinics located in Limoges (Haute-Vienne), it should be recalled that, as indicated in the previous developments regarding the definition of relevant markets, the size of the patient catchment areas varies notably depending on the different types of establishments. Decision-making practice has already noted that "the maximum distance a patient is willing to travel is greater for a university hospital center [...] than for another establishment." In this case, the leakage rate from Guéret to Limoges reaches [10-20] %. However, these patient flows primarily benefit the Limoges university hospital center (hereinafter "CHU"), and not the Vedici clinics. The CHU of Limoges has indeed attracted [10-20] % of patients from Guéret, compared to only [5-10] % for the Vedici group establishments. Therefore, the Vitalia clinic in Guéret and the Vedici clinics in Limoges are not close competitors.</w:t>
      </w:r>
    </w:p>
    <w:p>
      <w:r>
        <w:t>40. Finally, as indicated above, the prices of healthcare services are regulated and set at the national level. Consequently, private clinics cannot significantly increase the prices of the services they provide. The possibility of degrading the quality of services is also limited, with the Auvergne ARS specifying in this case that "the establishments are controlled by the HAS [Haute Autorité de Santé] certification processes and compliance visits from the ARS." It also emerges from the market test that no respondent considers that the operation is likely to significantly reduce the degree of competition in the relevant markets.</w:t>
      </w:r>
    </w:p>
    <w:p>
      <w:r>
        <w:t>41. Therefore, the proposed concentration operation will not lead to a significant change in the structure of the markets and is not likely to harm competition in the markets for the provision of diagnostics and hospital care in an area defined by a one-hour driving time around the Vitalia establishment in Guéret.</w:t>
      </w:r>
    </w:p>
    <w:p>
      <w:r>
        <w:t>42. The operation is therefore not likely to harm competition through horizontal effects on the Limousin markets for the provision of diagnostics and hospital care.</w:t>
      </w:r>
    </w:p>
    <w:p>
      <w:r>
        <w:rPr>
          <w:b/>
        </w:rPr>
        <w:t>[Pages 10–10]</w:t>
      </w:r>
    </w:p>
    <w:p>
      <w:r>
        <w:t xml:space="preserve">DECIDES  </w:t>
        <w:br/>
        <w:t xml:space="preserve">Article one: The operation notified under number 15-142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