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https://www.autoritedelaconcurrence.fr/fr/decision-de-controle-des-concentrations/relative-la-prise-de-controle-exclusif-de-viteole-par-ortec</w:t>
      </w:r>
    </w:p>
    <w:p>
      <w:r>
        <w:t>Pages translated : 4</w:t>
      </w:r>
    </w:p>
    <w:p/>
    <w:p>
      <w:r>
        <w:rPr>
          <w:b/>
        </w:rPr>
        <w:t>[Pages 1–3]</w:t>
      </w:r>
    </w:p>
    <w:p>
      <w:r>
        <w:t xml:space="preserve">FRENCH REPUBLIC  </w:t>
        <w:br/>
        <w:t xml:space="preserve">Decision No. 17-DCC-127 of August 10, 2017  </w:t>
        <w:br/>
        <w:t xml:space="preserve">regarding the exclusive control of Vitéole by Ortec  </w:t>
        <w:br/>
        <w:t xml:space="preserve">The Competition Authority,  </w:t>
        <w:br/>
        <w:t xml:space="preserve">Having regard to the notification file submitted in full to the merger service on July 21, 2017, regarding the exclusive control of Vitéole by Ortec, formalized by a securities acquisition contract dated July 12, 2017;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 xml:space="preserve">Adopts the following decision:  </w:t>
        <w:br/>
        <w:t xml:space="preserve">I. The concerned companies and the operation  </w:t>
        <w:br/>
        <w:t xml:space="preserve">1. Ortec Expansion, the holding company of the Ortec group (hereinafter "Ortec"), is controlled by the civil company Orein [confidential] of which Mr. [X] holds exclusive control. Ortec is active, through its subsidiary Ower, in the electrical engineering sector. It is also involved in the mechanical engineering sectors, construction (new works and maintenance in heavy industry, environmental services, sanitation, site decontamination, waste collection and treatment) and engineering and technical studies. Ortec also offers documentary engineering services.  </w:t>
        <w:br/>
        <w:t xml:space="preserve">2. Vitéole I SAS (hereinafter "Vitéole") is a holding company that directly controls the companies Brunet Holding SA, Brunet SASU, and Éric Loizeau SASU. It is active in the electrical engineering and climate engineering sectors. It also offers, for electrical engineering services, services related to the safety of persons and property and, for climate engineering services, services related to fire protection. Vitéole is controlled by Pragma Capital1.  </w:t>
        <w:br/>
        <w:t>1 Decision No. 11-DCC-98 of June 23, 2011, regarding the exclusive control of Vitéole by the FCPR Pragma II.</w:t>
      </w:r>
    </w:p>
    <w:p>
      <w:r>
        <w:t xml:space="preserve">3. Under a securities acquisition contract dated July 12, 2017, Ortec must acquire 100% of Vitéole's shares. As it results in the exclusive control of Vitéole by Ortec, the notified transaction constitutes a concentration operation within the meaning of Article L. 430-1 of the Commercial Code.  </w:t>
        <w:br/>
        <w:t xml:space="preserve">4. The companies concerned together achieve a total worldwide turnover excluding taxes of more than 150 million euros (Ortec: [...] euros for the fiscal year ending December 31, 2016; Vitéole: [...] euros for the same fiscal year). Each of these companies has achieved a turnover in France exceeding 50 million euros (Ortec: [...] euros for the fiscal year ending December 31, 2016; Vitéole: [...] euros for the same fiscal year). Given these turnover figures,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the relevant markets  </w:t>
        <w:br/>
        <w:t xml:space="preserve">5. The parties are simultaneously active in the electrical engineering markets2.  </w:t>
        <w:br/>
        <w:t xml:space="preserve">1. PRODUCT MARKET  </w:t>
        <w:br/>
        <w:t xml:space="preserve">6. Regarding engineering services, the decision-making practice3 has recognized a segmentation between the market for electrical engineering services and the markets for mechanical engineering and climate engineering services.  </w:t>
        <w:br/>
        <w:t xml:space="preserve">7. Within electrical engineering, the decision-making practice4 has considered the existence of three distinct segments relating to (i) telecommunications, (ii) electrical substations, and (iii) high voltage lines.  </w:t>
        <w:br/>
        <w:t xml:space="preserve">8. Competition authorities have also considered that the electrical engineering market could be segmented based on the type of work, distinguishing between maintenance work and installation work5. Installation work includes the following service provisions: design, initial installation of equipment, maintenance, repair, and modernization of infrastructure. Maintenance corresponds to the organization of periodic inspection visits.  </w:t>
        <w:br/>
        <w:t xml:space="preserve">2 Regarding Ortec's and Brunet's activities outside electrical engineering, any conglomerate effect can be ruled out given their market share of less than 30% across all relevant markets. The analysis of these effects will not be developed further below.  </w:t>
        <w:br/>
        <w:t xml:space="preserve">3 See the European Commission decisions of August 31, 2012, Vinci/EVT Business, M.6623 and March 26, 2010, Vinci/Cegelec, M.5701; the decisions of the Competition Authority No. 15-DCC-72 of June 18, 2015, regarding the exclusive control of Altergis SAS by Veolia Environnement SA, No. 09-DCC-30 of July 29, 2009, regarding the acquisition of the companies ETCM and GER2I Ensemblier by Eiffel Participations, as well as the letter from the Minister of Economy, Industry and Employment dated December 4, 2008, to the advisors of Eiffage, regarding a concentration in the sectors of multi-technical installation and maintenance and climate engineering works (C 2008-117) and the letter from the Minister of Economy, Finance and Employment dated October 5, 2007, to the advisor of Forclom, regarding a concentration in the industrial maintenance sector.  </w:t>
        <w:br/>
        <w:t xml:space="preserve">4 See in particular the aforementioned decision M.5701, the decision of the Competition Authority No. 13-DCC-29 of March 5, 2013, regarding the exclusive control of Gobé SAS by Scopelec, and the aforementioned decision No. 15-DCC-72.  </w:t>
        <w:br/>
        <w:t xml:space="preserve">5 Id.  </w:t>
        <w:br/>
        <w:t>2</w:t>
      </w:r>
    </w:p>
    <w:p>
      <w:r>
        <w:t xml:space="preserve">9. Moreover, the decision-making practice has recognized the existence of segmentation based on the type of clientele, distinguishing between residential and non-residential clientele. Within the segment of electrical engineering for non-residential clientele, it has considered a sub-segmentation between (i) infrastructure, (ii) industry, and (iii) tertiary6.  </w:t>
        <w:br/>
        <w:t xml:space="preserve">10. Finally, competition authorities have considered a segmentation of the markets for the installation and maintenance of telecommunications networks by distinguishing between works concerning the installation and maintenance of radio electronic communications equipment, on the one hand, and the installation and maintenance of electronic communication equipment, on the other hand7.  </w:t>
        <w:br/>
        <w:t xml:space="preserve">11. In any case, the question of the existence of the exact delimitation of these markets can be left open, insofar as, regardless of the segmentation retained, the conclusions of the competitive analysis remain unchanged.  </w:t>
        <w:br/>
        <w:t xml:space="preserve">12. In this case, the parties are simultaneously active in the market for electrical engineering services aimed at non-residential clientele, solely concerning installation work.  </w:t>
        <w:br/>
        <w:t xml:space="preserve">2. GEOGRAPHICAL MARKET  </w:t>
        <w:br/>
        <w:t xml:space="preserve">13. European decision-making practice considers that the electrical engineering markets are likely to be of national dimension, due to similar competitive conditions in these markets across the entire French territory8. It has nevertheless also conducted a competitive analysis of these markets at the regional level and has left the question of their exact geographical delimitation open. Similarly, national decision-making practice9 has considered that these markets could have a national or regional dimension.  </w:t>
        <w:br/>
        <w:t xml:space="preserve">14. In any case, the question of the exact geographical delimitation of these markets can be left open insofar as, regardless of the delimitation retained, the conclusions of the competitive analysis remain unchanged.  </w:t>
        <w:br/>
        <w:t xml:space="preserve">15. In this case, the parties are not simultaneously present in the same regions in France. The analysis will therefore be conducted at the national level.  </w:t>
        <w:br/>
        <w:t xml:space="preserve">III. Competitive analysis  </w:t>
        <w:br/>
        <w:t xml:space="preserve">16. In the electrical engineering market, at the national level, the new entity will hold a market share of less than 1%, regardless of the segmentation retained.  </w:t>
        <w:br/>
        <w:t xml:space="preserve">17. Consequently, the operation is not likely to harm competition in the electrical engineering markets.  </w:t>
        <w:br/>
        <w:t xml:space="preserve">6 See in particular letter C 2008-117 and the aforementioned decisions M.5701 and M.6623.  </w:t>
        <w:br/>
        <w:t xml:space="preserve">7 See in particular the aforementioned decisions No. 13-DCC-29 and No. 15-DCC-72.  </w:t>
        <w:br/>
        <w:t xml:space="preserve">8 See in particular the aforementioned decisions M.5701 and M.6623.  </w:t>
        <w:br/>
        <w:t xml:space="preserve">9 See in particular letter C 2008 and the aforementioned decisions No. 13-DCC-29 and No. 15-DCC-72.  </w:t>
        <w:br/>
        <w:t>3</w:t>
      </w:r>
    </w:p>
    <w:p>
      <w:r>
        <w:rPr>
          <w:b/>
        </w:rPr>
        <w:t>[Pages 4–4]</w:t>
      </w:r>
    </w:p>
    <w:p>
      <w:r>
        <w:t xml:space="preserve">DECIDES  </w:t>
        <w:br/>
        <w:t xml:space="preserve">Article unique: The transaction notified under number 17-151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