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https://www.autoritedelaconcurrence.fr/fr/decision-de-controle-des-concentrations/relative-la-prise-de-controle-exclusif-de-vivo-energy-par</w:t>
      </w:r>
    </w:p>
    <w:p>
      <w:r>
        <w:t>Pages translated : 11</w:t>
      </w:r>
    </w:p>
    <w:p/>
    <w:p>
      <w:r>
        <w:rPr>
          <w:b/>
        </w:rPr>
        <w:t>[Pages 1–3]</w:t>
      </w:r>
    </w:p>
    <w:p>
      <w:r>
        <w:t xml:space="preserve">FRENCH REPUBLIC  </w:t>
        <w:br/>
        <w:t xml:space="preserve">Decision No. 22-DCC-88 of May 19, 2022  </w:t>
        <w:br/>
        <w:t xml:space="preserve">relating to the exclusive control of Vivo Energy by Vitol Holding  </w:t>
        <w:br/>
        <w:t xml:space="preserve">The Competition Authority,  </w:t>
        <w:br/>
        <w:t xml:space="preserve">Having regard to the notification file submitted in full to the merger service on April 13, 2022, relating to the exclusive control of Vivo Energy by Vitol Holding, through the investment fund VIP II Blue, formalized by an acquisition offer dated November 25, 2021;  </w:t>
        <w:br/>
        <w:t xml:space="preserve">Having regard to Book IV of the Commercial Code relating to the freedom of prices and competition, and in particular its Articles L. 430-1 to L. 430-7;  </w:t>
        <w:br/>
        <w:t xml:space="preserve">Having regard to the additional elements transmitted by the notifying party during the investigation;  </w:t>
        <w:br/>
        <w:t>Adopts the following decision:</w:t>
      </w:r>
    </w:p>
    <w:p>
      <w:r>
        <w:t xml:space="preserve">DECISION NO. 22-DCC-88 OF MAY 19, 2022 RELATING TO THE EXCLUSIVE CONTROL OF VIVO ENERGY BY VITOL HOLDING ........................................................................................ 1  </w:t>
        <w:br/>
        <w:t xml:space="preserve">I. THE COMPANIES CONCERNED AND THE OPERATION ........................................................... 3  </w:t>
        <w:br/>
        <w:t xml:space="preserve">II. DELINEATION OF RELEVANT MARKETS ...................................................................... 3  </w:t>
        <w:br/>
        <w:t xml:space="preserve">A. THE MARKET FOR THE SUPPLY OF PETROLEUM PRODUCTS 4  </w:t>
        <w:br/>
        <w:t xml:space="preserve">B. THE MARKETS FOR THE SALE OF FUELS ............................................ 4  </w:t>
        <w:br/>
        <w:t xml:space="preserve">1. THE SALE OF FUELS OFF-NETWORK .................................................. 5  </w:t>
        <w:br/>
        <w:t xml:space="preserve">a) Product markets .......................................................................................... 5  </w:t>
        <w:br/>
        <w:t xml:space="preserve">b) The geographic market ........................................................................................ 5  </w:t>
        <w:br/>
        <w:t xml:space="preserve">2. THE RETAIL SALE OF FUELS THROUGH SERVICE STATION NETWORKS ........................................................................................................................... 6  </w:t>
        <w:br/>
        <w:t xml:space="preserve">a) Product market ............................................................................................. 6  </w:t>
        <w:br/>
        <w:t xml:space="preserve">b) Geographic market ........................................................................................ 6  </w:t>
        <w:br/>
        <w:t xml:space="preserve">III. COMPETITIVE ANALYSIS ....................................................................................... 7  </w:t>
        <w:br/>
        <w:t xml:space="preserve">A. Presentation of the regulatory context ..................................................................... 7  </w:t>
        <w:br/>
        <w:t xml:space="preserve">B. Analysis of vertical effects ......................................................................................... 8  </w:t>
        <w:br/>
        <w:t xml:space="preserve">a) Analysis of the risk of locking access to inputs .................................... 9  </w:t>
        <w:br/>
        <w:t>b) Analysis of the risk of locking access to customers ................................. 10</w:t>
      </w:r>
    </w:p>
    <w:p>
      <w:r>
        <w:t xml:space="preserve">I. The companies concerned and the operation  </w:t>
        <w:br/>
        <w:t xml:space="preserve">1. Vitol Holding B.V. (hereinafter "Vitol") is a Dutch company active in the trading and supply of energy, particularly in the supply and distribution of crude oil, petroleum products, and natural gas. Vitol also offers refining, trading, shipping, storage, and energy production services for gasoline, diesel, heating oil, jet fuel, ethanol, and other chemicals. In France, Vitol is active in mainland France, Guadeloupe, Martinique, and La Réunion, in the trading of refined petroleum products which it purchases and resells to obtain a brokerage margin. Vitol is ultimately controlled by Vitol Holding II S.A., a Luxembourg company.  </w:t>
        <w:br/>
        <w:t xml:space="preserve">2. Vivo Energy plc (hereinafter "Vivo") is a public limited company established in the United Kingdom. Vivo's activity mainly consists of distributing and marketing fuels and lubricants under the Shell and Engen brands, targeting individual and commercial customers in Africa. Vivo operates in 23 African countries where it has a network of over 2,400 service stations. In France, Vivo is exclusively active in La Réunion in the retail supply of fuels. Prior to the operation, Vivo was 36% owned by Vitol, 27.1% by Helios Investment Partners, and 3.9% by Petronas Marketing International SDN BHD. Vivo is currently not controlled by any of its shareholders.  </w:t>
        <w:br/>
        <w:t xml:space="preserve">3. The operation, formalized by an acquisition offer dated November 25, 2021, consists of Vitol acquiring 100% of the shares of Vivo. As it constitutes exclusive control of Vivo by Vitol, the notified operation constitutes a concentration operation within the meaning of Article L. 430-1 of the Commercial Code.  </w:t>
        <w:br/>
        <w:t xml:space="preserve">4. The companies concerned together achieve a total worldwide turnover of over 150 million euros (Vitol: [≥ 150 million] euros for the fiscal year ending December 31, 2020; Vivo: [≥ 150 million] euros for the fiscal year ending December 31, 2020). Each of these companies achieves, in France, a turnover exceeding 50 million euros (Vitol: [≥ 50 million] euros for the fiscal year ending December 31, 2020; Vivo: [≥ 50 million] euros for the fiscal year ending December 31, 2020). Given these turnover figures, the operation does not have a European dimension. However, the control thresholds mentioned in I of Article L. 430-2 of the Commercial Code are exceeded. This operation is therefore subject to the provisions of Articles L. 430-3 and following of the Commercial Code, relating to economic concentration.  </w:t>
        <w:br/>
        <w:t xml:space="preserve">II. Delineation of relevant markets  </w:t>
        <w:br/>
        <w:t xml:space="preserve">5. Within the oil industry, the French and European competition authorities generally distinguish between "upstream" activities and "downstream" activities. Upstream, the activities  </w:t>
        <w:br/>
        <w:t>1 See notably the letter from the Minister of Economy, Finance and Industry C2006-37 of April 19, 2006, VERMILION / ESSO, the decisions of the Competition Authority No. 09-DCC-59 of October 26, 2009, relating to the acquisition of 37 service stations from the Shell network by Total Raffinage Marketing SA, No. 11-DCC-102 of June 30, 2011, relating to the acquisition of the Antillean Petroleum Company by the Rubis group, and No. 12-DCC-53 of April 24, 2012, relating to the acquisition of the business of West Indies Petroleum Company by Compagnie Antillaise des Pétroles, No. 15-</w:t>
      </w:r>
    </w:p>
    <w:p>
      <w:r>
        <w:rPr>
          <w:b/>
        </w:rPr>
        <w:t>[Pages 4–6]</w:t>
      </w:r>
    </w:p>
    <w:p>
      <w:r>
        <w:t xml:space="preserve">consisting of three types of activities: exploration (the search for new reserves), development (establishment of necessary infrastructure for production: oil platforms, pipelines, terminals, etc.), and production (commercial exploitation of these reserves). "Downstream" activities include, for their part, the refining of crude oil, as well as the marketing of refined products and their distribution to end users.  </w:t>
        <w:br/>
        <w:t xml:space="preserve">6. In this case, the operation concerns a number of markets in the value chain that are affected by the vertical effects of the operation:  </w:t>
        <w:br/>
        <w:t xml:space="preserve">- upstream, in the market for the supply of petroleum products, in which Vitol is active;  </w:t>
        <w:br/>
        <w:t xml:space="preserve">- downstream, in the markets for the distribution of petroleum products, in which Vivo is active.  </w:t>
        <w:br/>
        <w:t xml:space="preserve">A. THE MARKET FOR THE SUPPLY OF PETROLEUM PRODUCTS  </w:t>
        <w:br/>
        <w:t xml:space="preserve">7. There is no refinery on the island of La Réunion. All petroleum products are therefore imported. Decision-making practice has considered, in the case of overseas markets, a market for the supply of petroleum products confined to the area concerned. It has thus considered that there exists a specific market for the supply of La Réunion2.  </w:t>
        <w:br/>
        <w:t xml:space="preserve">In this case, the acquirer supplies crude oil and refined petroleum products to La Réunion. The competitive analysis will be conducted on the market for the supply of crude oil and petroleum products, without the need to distinguish by type of products, the conclusions of the analysis remaining unchanged.  </w:t>
        <w:br/>
        <w:t xml:space="preserve">B. THE MARKETS FOR THE SALE OF FUELS  </w:t>
        <w:br/>
        <w:t xml:space="preserve">In terms of the marketing of refined products and their distribution to end users, competition authorities distinguish two relevant markets: "wholesale" sales also called "off-network" and "retail" sales through service station networks3. Vivo is present in both markets.  </w:t>
        <w:br/>
        <w:t xml:space="preserve">DCC-104 of July 30, 2015, relating to the acquisition of exclusive control of the Société Réunionnaise de Produits Pétroliers by the company Rubis, n°18-DCC-119 of July 18, 2018, relating to the acquisition of exclusive control of six off-network retail distribution businesses of petroleum products by Total Marketing France, as well as the decisions of the European Commission COMP/M.1383 of September 29, 1999, Exxon/Mobil, COMP/M.1464 of March 26, 1999, Total/PetroFina and COMP/M.1628 of February 9, 2000, TotalFina/Elf.  </w:t>
        <w:br/>
        <w:t xml:space="preserve">2 See decision of the Competition Authority n°15-DCC-104 of July 30, 2015, relating to the acquisition of exclusive control of the Société Réunionnaise de Produits Pétroliers by the company Rubis.  </w:t>
        <w:br/>
        <w:t xml:space="preserve">3 See notably the letter from the Minister of Economy, Finance and Industry C2005-102 of October 24, 2005, Rubis / SAGF, the decisions of the Competition Authority n°15-DCC-104 of July 30, 2015, relating to the acquisition of exclusive control of the Société Réunionnaise de Produits Pétroliers by the company Rubis and n°18-DCC-119 of July 18, 2018, relating to the acquisition of exclusive control of six off-network retail distribution businesses of petroleum products by Total Marketing France, as well as the decisions of the European Commission COMP/M.1013 of November 28, 1997, Shell UK / Gulf Oil and COMP/M.1383, COMP/M.1464 and COMP/M.1628 mentioned above.  </w:t>
        <w:br/>
        <w:t>4</w:t>
      </w:r>
    </w:p>
    <w:p>
      <w:r>
        <w:t xml:space="preserve">1. THE SALE OF FUELS OFF-NETWORK  </w:t>
        <w:br/>
        <w:t xml:space="preserve">a) The product markets  </w:t>
        <w:br/>
        <w:t xml:space="preserve">8. Within the market for the sale of petroleum products off-network, a segmentation according to the type of customers has been considered between, on the one hand, "wholesale" sales to resellers such as large retailers, independent oil operators, and traders, and, on the other hand, "retail" sales to professional users to whom more or less significant quantities of fuels are delivered (transport companies, industries, car rental agencies, etc.)4.  </w:t>
        <w:br/>
        <w:t xml:space="preserve">9. Furthermore, both national and European competition authorities have considered that the off-network sale of each refined product constituted a distinct market5, which should not be called into question in the context of the present operation.  </w:t>
        <w:br/>
        <w:t xml:space="preserve">10. The Commission has also considered that cargo sales, which refer to large volumes delivered to wholesalers, traders, and retailers, should be subject to a distinct competitive analysis6. These deliveries are made directly from the refinery, by means of transport referred to as "primary" or "bulk" (i.e., by rail, pipeline, ship, or barge) to the storage depots of the customers. There is no reason to challenge this distinction in this case.  </w:t>
        <w:br/>
        <w:t xml:space="preserve">11. In this case, Vivo is active in the market for the sale of off-network fuels at retail to professional users. The following products are sold by Vivo in La Réunion:  </w:t>
        <w:br/>
        <w:t xml:space="preserve">i) Unleaded gasoline,  </w:t>
        <w:br/>
        <w:t xml:space="preserve">ii) Road diesel,  </w:t>
        <w:br/>
        <w:t xml:space="preserve">iii) Jet fuel, and  </w:t>
        <w:br/>
        <w:t xml:space="preserve">iv) Marine fuel.  </w:t>
        <w:br/>
        <w:t xml:space="preserve">b) The geographic market  </w:t>
        <w:br/>
        <w:t xml:space="preserve">12. The Commission has retained a regional7, national8 or even supranational9 dimension for the market for the off-network sale of petroleum products depending on the member states considered. When this is the case, the market for the off-network sale of fuels is considered to be of regional dimension due to the constraints of logistics infrastructure (location of refineries, depots, pipelines).  </w:t>
        <w:br/>
        <w:t xml:space="preserve">13. In this case, given the insular nature of the areas concerned, the specific regulations regarding quality standards that apply to overseas departments and regions (hereinafter "DROM")10 and in accordance with the previous practice of the Authority11, a single geographic market will be retained for La Réunion.  </w:t>
        <w:br/>
        <w:t xml:space="preserve">2. THE RETAIL SALE OF FUELS IN SERVICE STATION NETWORKS  </w:t>
        <w:br/>
        <w:t xml:space="preserve">14. In this case, Vivo is present in the market for the retail sale of fuels in service station networks, encompassing all types of fuels.  </w:t>
        <w:br/>
        <w:t xml:space="preserve">a) The product market  </w:t>
        <w:br/>
        <w:t xml:space="preserve">15. Competition authorities12 have considered that there exists a market for the retail sale of fuels through service station networks, encompassing all types of fuels. Distribution on highways is distinguished from distribution off-highway, as demand is more captive on highways. In La Réunion, such a distinction is irrelevant, as the department does not have highways.  </w:t>
        <w:br/>
        <w:t xml:space="preserve">16. In France, Vivo is active in La Réunion in the retail sale of fuels for engines (gasoline and diesel) through 35 service stations.  </w:t>
        <w:br/>
        <w:t xml:space="preserve">b) The geographic market  </w:t>
        <w:br/>
        <w:t xml:space="preserve">17. Regarding the geographic dimension of the sale of fuels in service stations off-highway, the only market concerned in this case, national decision-making practice has considered13, while leaving the exact delimitation open, that the market was of local dimension. The analysis is thus conducted at the level of the catchment areas of each agglomeration or urban basin, grouping the service stations located within or near the cities and villages concerned.  </w:t>
        <w:br/>
        <w:t xml:space="preserve">10 Directive 98/70/EC of the European Parliament and of the Council, of October 13, 1998, concerning the quality of gasoline and diesel fuels and amending Directive 93/12/EEC of the Council. This directive aims, within the framework of a common program to the Commission, the oil industry and the automotive industry to reduce exhaust emissions. It defines minimum specifications relating to gasoline and diesel fuels intended for mobile road and non-road applications, which are motivated by considerations related to health and environmental protection. This directive has been notably amended by Directive 2009/30/EC of the European Parliament and of the Council of April 23, 2009 regarding specifications relating to gasoline, diesel fuel, and gas oils.  </w:t>
        <w:br/>
        <w:t xml:space="preserve">11 See the decisions of the Competition Authority n°11-DCC-102 and 15-DCC-104 of July 30, 2015 mentioned above.  </w:t>
        <w:br/>
        <w:t xml:space="preserve">12 See notably the letter from the Minister of Economy C2003-1 of January 29, 2003, AGIP FRANCAISE S.A. / Société des pétroles SHELL; the decisions of the Competition Authority n°09-DCC-57 of October 15, 2009 relating to the acquisition by the company Picoty Réseau SAS of assets of the Société des Pétroles Shell; n°09-DCC-60 of October 28, 2009 relating to the acquisition by the company Thevenin &amp; Ducrot distribution of assets of the Société des Pétroles Shell; n°11-DCC-102 mentioned above as well as the decisions of the Commission IV/M.1383 and COMP/M.1464 mentioned above.  </w:t>
        <w:br/>
        <w:t xml:space="preserve">13 See notably the letters from the Minister of Economy C2002-128 of November 20, 2002, AGIP FRANCAISE SA / SORALA and C2003-1 mentioned above and the decisions of the Authority n°09-DCC-57 and n°09-DCC-60 mentioned above as well as n°09-DCC-94 of December 31, 2009 relating to the acquisition of assets of the Société des Pétroles Shell and the Total group by the Rubis group in the retail sale of fuels sector and n°11-DCC-102 mentioned above.  </w:t>
        <w:br/>
        <w:t>6</w:t>
      </w:r>
    </w:p>
    <w:p>
      <w:r>
        <w:rPr>
          <w:b/>
        </w:rPr>
        <w:t>[Pages 7–9]</w:t>
      </w:r>
    </w:p>
    <w:p>
      <w:r>
        <w:t xml:space="preserve">18. In a previous decision concerning overseas markets, the Authority14 conducted its analysis both at the departmental level and at the local level, due to the insularity and the significant interpenetration of the areas concerned.  </w:t>
        <w:br/>
        <w:t xml:space="preserve">19. In this case, the geographical delineation of the market can be left open, insofar as the conclusions of the competitive analysis will remain unchanged regardless of the hypothesis adopted.  </w:t>
        <w:br/>
        <w:t xml:space="preserve">III. Competitive Analysis  </w:t>
        <w:br/>
        <w:t xml:space="preserve">20. The proposed operation does not involve any overlap of activities; only the vertical effects will be examined (B), following a presentation of the regulatory context (A).  </w:t>
        <w:br/>
        <w:t xml:space="preserve">A. PRESENTATION OF THE REGULATORY CONTEXT  </w:t>
        <w:br/>
        <w:t xml:space="preserve">21. The Competition Authority has repeatedly noted15 that La Réunion is dependent on imports for its fuel supply. In addition to its insularity and remoteness, its membership in the European Union requires it to use fuels that meet European standards, making imports from neighboring countries difficult.  </w:t>
        <w:br/>
        <w:t xml:space="preserve">22. The particularity of La Réunion compared to other overseas departments and regions (DROM) lies in the fact that this department has no refinery, and all petroleum products and LPG are therefore imported. In La Réunion, the oil operators (Total Réunion, Ola Energy Réunion, Vivo Energy, and SRPP) active in the downstream markets for the distribution of petroleum products are gathered in a Hydrocarbon Importers Committee (hereinafter "CIH"), through which imports are organized.  </w:t>
        <w:br/>
        <w:t xml:space="preserve">23. In order to obtain a competitive supply cost for the purchase of fuels, the members of the CIH pool all the necessary volumes for the supply of La Réunion into a single call for tenders, launched to several suppliers. The call for tenders issued by the CIH specifies the necessary quantities, as well as the characteristics of the desired products.  </w:t>
        <w:br/>
        <w:t xml:space="preserve">24. The choice of supplier is then made based on several criteria, notably the proposed price, with the supplier offering the most economical rate generally being selected. Decisions of the CIH are adopted unanimously, with one of the CIH members assuming the role of coordinator each year, in turn, to organize the call for tenders. This role is assigned to the main charterer of the previous year, also designated in turn, on an annual basis. The selected bidder concludes a contract, in accordance with the terms of the call for tenders document, with the member acting as the main charterer each year, who acts on behalf of the CIH.  </w:t>
        <w:br/>
        <w:t xml:space="preserve">14 See the decisions of the Competition Authority n°11-DCC-102 and n°15-DCC-104 cited above.  </w:t>
        <w:br/>
        <w:t xml:space="preserve">15 Opinion n°09-A-21 of June 24, 2009, on the state of competition in the fuel markets in overseas departments; opinion n°13-A-21 of November 27, 2013, regarding draft decrees regulating the price of fuels and liquefied petroleum gas in overseas departments.  </w:t>
        <w:br/>
        <w:t xml:space="preserve">25. As the Authority has raised several times16, the imported products then transit through the facilities of SRPP (Rubis group), which is the only one with storage tanks. All existing storage capacities in La Réunion are therefore owned and operated by SRPP, with the stored products being the property of each of the operators. However, this situation only concerns the intermediate stage of the supply chain, with fuels being subsequently distributed downstream by competing oil operators.  </w:t>
        <w:br/>
        <w:t xml:space="preserve">26. The specific characteristics of the Réunion market have justified the establishment of price regulation. In accordance with decree n° 2015-1823 of December 30, 2015, which notably established articles R. 671-1 and following of the Energy Code, the Prefect of La Réunion sets monthly by order the maximum prices for imports, excluding storage passage, the prices for storage passage, and the distribution prices at the wholesale and retail stages for certain petroleum products. These prices are calculated based on the costs incurred by the companies and the remuneration of capital or, where applicable, their profit margin. The regulated petroleum products are unleaded super fuels and diesel, domestic fuel oil, kerosene, and LPG. The prices set by the prefects are the maximum prices (i) for imports, excluding storage passage, (ii) for storage passage, and (iii) for distribution at the wholesale and retail stages.  </w:t>
        <w:br/>
        <w:t xml:space="preserve">27. The decree thus allows for price competition since it only sets maximum prices, which do not apply to all fuels distributed as aviation fuels are excluded from the regulation.  </w:t>
        <w:br/>
        <w:t xml:space="preserve">B. ANALYSIS OF VERTICAL EFFECTS  </w:t>
        <w:br/>
        <w:t xml:space="preserve">28. A vertical concentration can restrict competition by making it more difficult for competitors to access the markets in which the new entity will operate, potentially excluding competitors or penalizing them by increasing their costs. This is referred to as "locking in" or "foreclosure" of markets. Such a situation increases the market power of the new entity and allows it to raise its prices or reduce the quantities offered. Two types of lock-ins are distinguished. In the first case, the integrated company refuses to sell an input to its downstream competitors or supplies this input at a high price, under unfavorable conditions, or at a degraded quality level (this is referred to as "input lock-in"). This foreclosure can be total, when competitors are no longer supplied at all, or partial, when the tightening of pricing conditions leads to an increase in competitors' costs. In the second case, the downstream branch of the integrated company refuses to buy or distribute the products of upstream active suppliers, thus reducing their commercial outlets ("customer access lock-in").  </w:t>
        <w:br/>
        <w:t xml:space="preserve">29. In this case, the parties are present at different levels of the value chain of petroleum product markets. Vitol is active in the market for the supply of petroleum products in La Réunion. […]. Vivo, for its part, is active in La Réunion in the markets for the sale of off-network fuels at retail to professional users and for the retail sale of fuels through service station networks.  </w:t>
        <w:br/>
        <w:t xml:space="preserve">30. It is therefore necessary to examine the risks of harming competition through vertical effects between (i) the upstream market for the supply of petroleum products in La Réunion and (ii) the markets for the retail sale of off-network and network petroleum products.  </w:t>
        <w:br/>
        <w:t xml:space="preserve">16 Decisions of the Authority n°15-DCC-104 cited above and n°19-D-16 of July 24, 2019, relating to practices implemented in the fuel sector in La Réunion.  </w:t>
        <w:br/>
        <w:t xml:space="preserve">31. According to established decision-making practice, the likelihood that the operation distorts competition through vertical effects will depend on the ability of the new entity to restrict its competitors' access to the aforementioned markets, its incentive to implement such a strategy, and the effects of this strategy on the markets in question.  </w:t>
        <w:br/>
        <w:t xml:space="preserve">32. However, decision-making practice generally considers that a risk of vertical or conglomerate effect can be ruled out as long as the market share of the entity resulting from the operation in the relevant markets does not exceed 30%.  </w:t>
        <w:br/>
        <w:t xml:space="preserve">33. Regarding the market for the supply of petroleum products, […]. Its status can, however, be challenged every year through the call for tenders process established by the oil operators present in La Réunion.  </w:t>
        <w:br/>
        <w:t xml:space="preserve">34. Regarding the markets for the sale of fuels, Vivo's market shares are below 30%, except in the market for the retail sale of aviation fuels off-network to professional users. In this market, Vivo's market share is estimated at [30-35%].  </w:t>
        <w:br/>
        <w:t xml:space="preserve">35. Thus, given the positions of the new entity in the aforementioned markets and in accordance with the Authority's guidelines, it is necessary to examine the capacity and incentives of the new entity to implement an input lock-in (supply of petroleum products by Vitol) (a) or a customer access lock-in (b).  </w:t>
        <w:br/>
        <w:t xml:space="preserve">a) Analysis of the risk of input access lock-in  </w:t>
        <w:br/>
        <w:t xml:space="preserve">36. Regarding the market for the supply of petroleum products, only the acquirer is present in this market. […]  </w:t>
        <w:br/>
        <w:t xml:space="preserve">37. It is therefore necessary to analyze the risk of implementing an upstream market lock-in strategy.  </w:t>
        <w:br/>
        <w:t xml:space="preserve">38. It is necessary to assess whether Vitol could be incentivized to refuse to supply or to degrade the purchasing conditions of petroleum products that it offers to Vivo's competitors, for example, by imposing discriminatory supply conditions (pricing or otherwise) of its products to other oil operators active in La Réunion.  </w:t>
        <w:br/>
        <w:t xml:space="preserve">39. The risk of implementing such a strategy can, however, be ruled out.  </w:t>
        <w:br/>
        <w:t xml:space="preserve">40. First, in this case, the importation of petroleum products to La Réunion is carried out by a supplier designated annually within the framework of a call for tenders as described above. This annual call for tenders provides the necessary volumes for all oil operators operating in La Réunion, so that Vitol would not have the opportunity to limit its supply (even when it wins the call for tenders) to Vivo only, to the exclusion of competing oil operators. Due to this call for tenders mechanism, specifying the necessary quantities of petroleum products to be imported, the new entity would therefore not be able to restrict supply to either of the operators.  </w:t>
        <w:br/>
        <w:t xml:space="preserve">41. Furthermore, the CIH's decisions regarding the choice of supplier for petroleum products are adopted unanimously. The contractual conditions, including price, are not subject to direct negotiation between oil operators and upstream suppliers outside the framework of the CIH, so that the new entity would not be able to impose discriminatory conditions on other downstream oil operators.  </w:t>
        <w:br/>
        <w:t>42. More generally, there are no direct contractual arrangements or discussions between the bidder who won the call for tenders and the members of the CIH, except for the concerned distributor in its role as the main charterer or coordinator of purchases for the year in question, acting on behalf of the CIH). In fact, the winner of the call for tenders commits</w:t>
      </w:r>
    </w:p>
    <w:p>
      <w:r>
        <w:rPr>
          <w:b/>
        </w:rPr>
        <w:t>[Pages 10–11]</w:t>
      </w:r>
    </w:p>
    <w:p>
      <w:r>
        <w:t xml:space="preserve">contractually only with the company designated as the main charterer that year. The contract concluded with the main charterer incorporates the terms of the tender document. It is then up to the main charterer to enter into contracts with each of the distributor members of the CIH.  </w:t>
        <w:br/>
        <w:t xml:space="preserve">43. Finally, the annual frequency of the tender process eliminates any incentive in the medium and long term to implement such a strategy, given that there are credible alternatives to the new entity. The tender process is open to all international oil trading companies, regardless of any shareholding or contractual relationship they may have with any of the oil operators operating in Réunion. The new entity will therefore face operators present in Réunion and vertically integrated such as Total, Rubis, or OLA Energy, as well as Trafigura, British Petroleum ("BP"), and Shell International Eastern Trading Company ("SIETCO"). Thus, even if the new entity were to pursue such a strategy, Vivo's competitors have credible alternatives in the fuel sales markets and could challenge the competitive situation in place each year.  </w:t>
        <w:br/>
        <w:t xml:space="preserve">44. Consequently, any risk related to the possibility for the new entity to implement a strategy of locking in inputs by favoring its downstream active subsidiary over other oil operators active in Réunion can be dismissed.  </w:t>
        <w:br/>
        <w:t xml:space="preserve">b) Analysis of the risk of locking access to customers  </w:t>
        <w:br/>
        <w:t xml:space="preserve">45. It is necessary to assess the risks that the new entity could restrict Vitol's competitors' access to the market for the supply of petroleum products in Réunion. Following the operation, Vivo will certainly not have the ability to unilaterally award a tender to Vitol while excluding competing oil traders due to the voting mechanism requiring unanimity among the members of the CIH. However, Vivo could seek to opt only for Vitol or oppose Vitol's competitor by vetoing any upstream operator that would not be suitable for the new entity.  </w:t>
        <w:br/>
        <w:t xml:space="preserve">46. However, the new entity would not have the capacity to exert decisive pressure on other petroleum product distributors. Indeed, downstream, the new entity will face integrated operators such as Total, Rubis, or OLA Energy, who, while being present in the downstream retail fuel market in Réunion, are also potential fuel suppliers for Réunion in the upstream market. These operators would therefore have retaliatory capabilities against Vitol and incentives as strong as those of Vitol to make use of them.  </w:t>
        <w:br/>
        <w:t xml:space="preserve">47. Therefore, it follows from the above that the operation is not likely to harm competition through vertical effects, whether through a strategy of locking in inputs or a strategy of locking in customers.  </w:t>
        <w:br/>
        <w:t xml:space="preserve">DECIDES  </w:t>
        <w:br/>
        <w:t xml:space="preserve">Single Article: The operation notified under number 22-023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