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https://www.autoritedelaconcurrence.fr/fr/decision-de-controle-des-concentrations/relative-la-prise-de-controle-exclusif-de-weetec-par-ortec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24-DCC-271 of December 6, 2024</w:t>
        <w:br/>
        <w:t>regarding the exclusive control acquisition of Weetec by Ortec Energies</w:t>
        <w:br/>
        <w:t>The Competition Authority,</w:t>
        <w:br/>
        <w:t>Having regard to the complete notification file submitted to the mergers department on</w:t>
        <w:br/>
        <w:t>November 15, 2024, concerning the exclusive control acquisition of Weetec by Ortec Energies</w:t>
        <w:br/>
        <w:t>formalized by a share transfer agreement dated November 7,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Ortec Energies SAS of 100% of the</w:t>
        <w:br/>
        <w:t>capital and voting rights of Weecap SAS, a holding company holding the majority of the capital</w:t>
        <w:br/>
        <w:t>and voting rights of all companies in the Weetec group. The latter is active in the field of electrical engineering and climate engineering in Île-de-France. The operation constitutes a</w:t>
        <w:br/>
        <w:t>concentration within the meaning of Article L. 430-1 of the Commercial Code. Given the turnover</w:t>
        <w:br/>
        <w:t>achieved by the companies concerned, the operation does not fall under the jurisdiction of</w:t>
        <w:br/>
        <w:t>the European Union. On the other hand, the control thresholds mentioned in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24-274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