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https://www.autoritedelaconcurrence.fr/fr/decision-de-controle-des-concentrations/relative-la-prise-de-controle-exclusif-de-yeo-frais-par-le</w:t>
      </w:r>
    </w:p>
    <w:p>
      <w:r>
        <w:t>Pages translated : 7</w:t>
      </w:r>
    </w:p>
    <w:p/>
    <w:p>
      <w:r>
        <w:rPr>
          <w:b/>
        </w:rPr>
        <w:t>[Pages 1–3]</w:t>
      </w:r>
    </w:p>
    <w:p>
      <w:r>
        <w:t xml:space="preserve">FRENCH REPUBLIC  </w:t>
        <w:br/>
        <w:t xml:space="preserve">Decision No. 17-DCC-24 of February 21, 2017  </w:t>
        <w:br/>
        <w:t xml:space="preserve">regarding the exclusive control of Yéo Frais by the group  </w:t>
        <w:br/>
        <w:t>Les Maîtres Laitiers du Cotentin</w:t>
      </w:r>
    </w:p>
    <w:p>
      <w:r>
        <w:t xml:space="preserve">The Competition Authority,  </w:t>
        <w:br/>
        <w:t xml:space="preserve">Having regard to the notification file submitted in full to the merger service on January 19, 2017,  </w:t>
        <w:br/>
        <w:t xml:space="preserve">regarding the exclusive control of the company Yéo Frais by the group Les Maîtres Laitiers du Cotentin, formalized by a share transfer agreement dated November 22, 2016;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Adopts the following decision:</w:t>
      </w:r>
    </w:p>
    <w:p>
      <w:r>
        <w:t xml:space="preserve">I. The companies concerned and the transaction  </w:t>
        <w:br/>
        <w:t xml:space="preserve">1. The Agricultural Cooperative Les Maîtres Laitiers du Cotentin (hereinafter "MLC") is an agricultural cooperative, head of the MLC group. MLC is active in the sector of milk collection and the production of fresh dairy products. MLC collects milk from […] farms based in Normandy, almost exclusively in the department of Manche. It uses the collected milk primarily to produce cream, butter, drinking milk, fresh cheeses, and pressed cheeses for the retail, food service (hereinafter "RHD") sectors, and marginally for the food industry (hereinafter "IAA"). It also engages in subcontracting cheese production on behalf of [confidential]. MLC wholly owns the holding company France Frais, whose subsidiaries are active in the wholesale distribution of food products, particularly dairy products to RHD players. MLC also marginally engages in the retail trade of dairy products in dairies located in the Paris region and Lyon.  </w:t>
        <w:br/>
        <w:t xml:space="preserve">2. Yéo Frais is a simplified joint-stock company active in the yogurt and fresh cream sector. The products it manufactures are primarily marketed to retail businesses in large and medium-sized stores (hereinafter "GMS") and convenience stores under private label, as well as to the RHD sector. It also markets yogurts under its own brand to organic stores and cream to the food industry. Finally, it manufactures sheep's milk and goat's milk yogurts on behalf of [confidential], which markets them under its own brand. Yéo Frais is exclusively controlled by the Sodial group.  </w:t>
        <w:br/>
        <w:t xml:space="preserve">3. Under the share transfer agreement dated November 22, 2016, the transaction consists of the acquisition of 100% of the shares of the company Yéo Frais by MLC. As it results in the exclusive control of Yéo Frais by MLC, the notified transaction constitutes a concentration within the meaning of Article L. 430-1 of the Commercial Code.  </w:t>
        <w:br/>
        <w:t>4. The companies concerned have achieved a consolidated turnover excluding taxes worldwide of more than 150 million euros in the last closed financial year (Les Maîtres Laitiers du Cotentin: […] euros as of March 31, 2016; Yéo Frais: […] euros as of December 31, 2015). Each of these companies has achieved, in France, a turnover exceeding 50 million euros (Les Maîtres Laitiers du Cotentin: […] euros as of March 31, 2016; Yéo Frais: […] euros as of December 31, 2015). Given these turnover figures, the transaction does not have a community dimension. However, the control thresholds mentioned in point I of Article L. 430-2 of the Commercial Code are exceeded. The present transaction is therefore subject to the provisions of Articles L. 430-3 and following of the Commercial Code relating to economic concentration.</w:t>
      </w:r>
    </w:p>
    <w:p>
      <w:r>
        <w:t xml:space="preserve">II. Delimitation of the relevant markets  </w:t>
        <w:br/>
        <w:t xml:space="preserve">5. The parties to the transaction are simultaneously active in the downstream market for the processing and marketing of cream through various distribution channels. MLC is present in the upstream market for milk collection and in the downstream market for the wholesale of dairy products through its subsidiary France Frais. Yéo, for its part, is present in the related market for yogurt manufacturing.  </w:t>
        <w:br/>
        <w:t>6. In the milk sector, the decision-making practice consistently distinguishes between (i) the upstream markets for milk collection and (ii) the downstream markets for the marketing of drinking milk and other dairy products.</w:t>
      </w:r>
    </w:p>
    <w:p>
      <w:r>
        <w:t xml:space="preserve">A. THE UPSTREAM MARKETS FOR MILK COLLECTION  </w:t>
        <w:br/>
        <w:t xml:space="preserve">1. THE PRODUCT MARKETS  </w:t>
        <w:br/>
        <w:t xml:space="preserve">7. Community1 and national2 decision-making practice considers that the markets for milk collection should be distinguished according to the type of milk concerned (cow's milk, sheep's milk, etc.). More refined segmentations have also been considered, particularly isolating milk from organic farming3 or milk intended for the production of products with a controlled designation of origin4 or protected designation ("AOC" or "AOP").  </w:t>
        <w:br/>
        <w:t>8. In this case, MLC is present in the market for the collection of conventional cow's milk. The precise delineation of these markets can be left open, as the conclusions of the competitive analysis remain unchanged, regardless of the delineations adopted.</w:t>
      </w:r>
    </w:p>
    <w:p>
      <w:r>
        <w:t xml:space="preserve">2. THE GEOGRAPHIC MARKETS  </w:t>
        <w:br/>
        <w:t xml:space="preserve">9. In the Member States concerned by the operations it has examined, the European Commission has considered that the markets for milk collection have a national dimension5. However, it noted that "if raw milk can theoretically be transported over long distances, the average distance between farms and processing units is approximately 40 to 50 km"6. For France, the competition authorities have also retained a radius of about 50 kilometers around dairies and analyzed the operations at the regional, departmental, or sub-departmental level7.  </w:t>
        <w:br/>
        <w:t>10. In this case, MLC estimated its market shares in the collection of conventional cow's milk at the national, regional, and departmental levels, its members being located in the department of Manche in Normandy.</w:t>
      </w:r>
    </w:p>
    <w:p>
      <w:r>
        <w:t xml:space="preserve">B. THE DOWNSTREAM MARKETS FOR THE PROCESSING AND MARKETING OF DAIRY PRODUCTS  </w:t>
        <w:br/>
        <w:t xml:space="preserve">1. THE PRODUCT MARKETS  </w:t>
        <w:br/>
        <w:t>11. In its decision COMP/M.5046, Friesland Foods/Campina, the European Commission8 distinguished, within the market for the manufacturing and marketing of dairy products, ten main distinct market segments: (i) basic dairy products (milk, yogurt), (ii) cheese, (iii) butter, (iv) value-added yogurts and cottage cheese, (v) flavored dairy drinks, (vi) fresh dairy desserts, (vii) cream, (viii) liquid coffee whiteners, (ix) dry emulsions in aerosol, and (x) lactose. It considered sub-segmentations within each of these markets.</w:t>
      </w:r>
    </w:p>
    <w:p>
      <w:r>
        <w:rPr>
          <w:b/>
        </w:rPr>
        <w:t>[Pages 4–6]</w:t>
      </w:r>
    </w:p>
    <w:p>
      <w:r>
        <w:t>12. In the present case, the parties to the transaction are simultaneously present in the cream market. The question of the exact delineation of the cream market can be left open, as the conclusions of the competitive analysis remain unchanged regardless of the delineations adopted.</w:t>
      </w:r>
    </w:p>
    <w:p>
      <w:r>
        <w:t>a) Distinction by product type</w:t>
      </w:r>
    </w:p>
    <w:p>
      <w:r>
        <w:t>(i) Dairy cream</w:t>
      </w:r>
    </w:p>
    <w:p>
      <w:r>
        <w:t>13. The French9 and European10 competition authorities have considered distinguishing fresh dairy cream from long-life dairy cream ("UHT cream"). Regarding the segment of fresh dairy cream, by analogy with milk collection, it has been considered to distinguish organic fresh cream from conventional fresh cream.</w:t>
      </w:r>
    </w:p>
    <w:p>
      <w:r>
        <w:t>14. In this case, the parties to the transaction are simultaneously present in the market for non-organic fresh cream, only Yéo is also present in the market for organic fresh cream. However, the question of the exact delineation of the cream markets can be left open, as the analysis remains unchanged regardless of the hypothesis adopted.</w:t>
      </w:r>
    </w:p>
    <w:p>
      <w:r>
        <w:t>(ii) Yogurts and fresh cheeses</w:t>
      </w:r>
    </w:p>
    <w:p>
      <w:r>
        <w:t>15. In a decision concerning, among other things, the French market, the community decision-making practice distinguished yogurts on the one hand, from fresh cheeses and white cheeses on the other11. In a more recent decision, it considered the relevance of an additional segmentation within yogurts between plain yogurts and value-added yogurts12. It subsequently considered within the segment of so-called value-added yogurts to distinguish those from the "health" segment with bifidus from those of the "gourmet" segment, as well as among smooth and Swiss white cheeses, those from the "health" segment and those from the "gourmet" segment while leaving these questions open13.</w:t>
      </w:r>
    </w:p>
    <w:p>
      <w:r>
        <w:t>16. Finally, the distinction considered between goat milk yogurts and cow milk yogurts has been deemed relevant due to the existence of allergies and intolerances to cow's milk by certain consumers, and because of the significant differences in taste and price compared to cow's milk yogurts14. A segmentation between organic and conventional dairy products has also been considered for yogurts15.</w:t>
      </w:r>
    </w:p>
    <w:p>
      <w:r>
        <w:t>17. In this case, Yéo markets both organic and non-organic cow milk yogurts. MLC, for its part, is not active in these markets.</w:t>
      </w:r>
    </w:p>
    <w:p>
      <w:r>
        <w:t>b) Distinction based on the distribution channel</w:t>
      </w:r>
    </w:p>
    <w:p>
      <w:r>
        <w:t>18. Regarding food products, national decision-making practice16 has considered a segmentation according to the distribution channel, distinguishing products intended for GMS, products intended for RHF, and finally products sold to IAA. This distinction is justified notably by the existence of different needs depending on the type of buyer (notably in terms of volumes, packaging, range diversity, etc.).</w:t>
      </w:r>
    </w:p>
    <w:p>
      <w:r>
        <w:t>19. In this case, the parties are simultaneously present in the market for the distribution of cream intended for GMS, RHF, and IAA. Regarding the production and marketing of yogurt, Yéo only markets cow milk yogurts to RHF, and more specifically organic and non-organic plain and value-added yogurts. However, the question of the exact delineation of the cream and yogurt markets based on the distribution channel can remain open, as the conclusions of the competitive analysis remain unchanged regardless of the delineations adopted.</w:t>
      </w:r>
    </w:p>
    <w:p>
      <w:r>
        <w:t>c) For products intended for GMS, distinction according to the commercial positioning of the products</w:t>
      </w:r>
    </w:p>
    <w:p>
      <w:r>
        <w:t>20. In the market for the marketing of cream in GMS, the parties to the transaction manufacture creams marketed exclusively under private labels (hereinafter "MDD").</w:t>
      </w:r>
    </w:p>
    <w:p>
      <w:r>
        <w:t>21. In accordance with the decision-making practice related to other food product markets17, it is necessary to question the relevance of a segmentation of the cream sales market to GMS according to the commercial positioning of the products and to assess whether the supplier holding a significant position in one of these segments would be able to exert market power over distributors or whether this market power would be confronted with competition from suppliers present in the other segments.</w:t>
      </w:r>
    </w:p>
    <w:p>
      <w:r>
        <w:t>22. Regarding the creams marketed by the parties, as with dairy products such as cheeses, white cheeses, and certain dairy desserts (notably dessert creams), both national and community decision-making practice18 has noted indications of substitutability between products sold under MDD and those sold under MDF while leaving the question open.</w:t>
      </w:r>
    </w:p>
    <w:p>
      <w:r>
        <w:t>23. The Authority noted that, in the fresh dairy products sector, the penetration rates of products sold under MDD, varying by product, were between 50 and 60%19 for fresh cream and between 26 and 30% for yogurts20.</w:t>
      </w:r>
    </w:p>
    <w:p>
      <w:r>
        <w:t>24. In this case, the parties to the transaction provided an estimate of their market shares in the overall market for cream sales across all channels as well as in the segment of cream sales under MDD to GMS. The question of the segmentation of the cream market according to its commercial positioning can, however, remain open, as regardless of the hypothesis considered, the competitive analysis remains unchanged.</w:t>
      </w:r>
    </w:p>
    <w:p>
      <w:r>
        <w:t>25. In the food sector, competition authorities generally consider that competition operates at the national level21. Consumer preferences, tastes, and habits, price differences, variations in market shares of operators in different countries, and the strong presence of national brands justify this delineation.</w:t>
      </w:r>
    </w:p>
    <w:p>
      <w:r>
        <w:t>26. Thus, the geographic markets for dairy cream22, ultra-fresh dairy products including yogurts, fresh white cheeses, and dairy desserts23 have been recognized as being of national dimension by the French and community competition authorities.</w:t>
      </w:r>
    </w:p>
    <w:p>
      <w:r>
        <w:t>27. In this case, the effects of the transaction on the dairy product markets (creams and yogurts) will thus be examined on markets of national dimension. The question of the exact delineation of the markets will, however, be left open, as the conclusions of the competitive analysis remain unchanged, regardless of the delineations adopted.</w:t>
      </w:r>
    </w:p>
    <w:p>
      <w:r>
        <w:t>III. Competitive analysis</w:t>
      </w:r>
    </w:p>
    <w:p>
      <w:r>
        <w:t>A. ANALYSIS OF HORIZONTAL EFFECTS</w:t>
      </w:r>
    </w:p>
    <w:p>
      <w:r>
        <w:t>28. The parties to the transaction are simultaneously active in the market for the processing and marketing of non-organic fresh cream. In this market, across all distribution channels, the market share of the new entity will be less than [5-10]% according to the parties' estimates. It will also remain subject to competition from the main operators in the sector, notably Yoplait, Lactalis, Senegral, and Savencia.</w:t>
      </w:r>
    </w:p>
    <w:p>
      <w:r>
        <w:t>29. In the market for the processing and marketing of non-organic fresh cream segmented by distribution channel and product commercial positioning, the market share of the new entity will remain below [10-20]% regardless of the segment considered. It will also remain subject to competition from the main operators in the sector mentioned above.</w:t>
      </w:r>
    </w:p>
    <w:p>
      <w:r>
        <w:t>30. Therefore, the transaction is not likely to harm competition in the cream markets through horizontal effects.</w:t>
      </w:r>
    </w:p>
    <w:p>
      <w:r>
        <w:t>B. ANALYSIS OF VERTICAL EFFECTS</w:t>
      </w:r>
    </w:p>
    <w:p>
      <w:r>
        <w:t>31. A vertical concentration can restrict competition by making access to the markets where the new entity will be active more difficult, or even potentially excluding competitors or penalizing them by increasing their costs. Two types of</w:t>
      </w:r>
    </w:p>
    <w:p>
      <w:r>
        <w:rPr>
          <w:b/>
        </w:rPr>
        <w:t>[Pages 7–7]</w:t>
      </w:r>
    </w:p>
    <w:p>
      <w:r>
        <w:t>two types of lock-ins are clearly distinguished. In the first case, the integrated company refuses to sell an input to its downstream competitors or provides it to them at a high price, under unfavorable conditions, or at a degraded quality level (input market lock-in). In the second case, the downstream branch of the integrated company refuses to purchase or distribute the products of upstream manufacturers, thereby reducing their commercial outlets (customer access lock-in). The decision-making practice of competition authorities generally dismisses these lock-in risks when the share of the company resulting from the transaction in the relevant markets does not exceed 30%.</w:t>
      </w:r>
    </w:p>
    <w:p>
      <w:r>
        <w:t>32. In this case, MLC is present in the markets for the collection of conventional cow's milk located upstream of Yéo's activity. Thus, following the transaction, MLC could reserve its milk volumes solely for the benefit of Yéo and deprive its competitors of the latter. However, MLC's position in the cow's milk collection market is limited, as it represents [0-5]% of the volumes collected at the national level, [10-20]% in Normandy, and [20-30]% in Manche. Such a position in the upstream markets is not likely to allow for foreclosure of access to the milk resource for Yéo's competitors.</w:t>
      </w:r>
    </w:p>
    <w:p>
      <w:r>
        <w:t>33. Therefore, the transaction is not likely to harm competition through vertical effects in the relevant markets.</w:t>
      </w:r>
    </w:p>
    <w:p>
      <w:r>
        <w:t>DECIDES</w:t>
      </w:r>
    </w:p>
    <w:p>
      <w:r>
        <w:t>Sole Article: The transaction notified under number 16-277 is authorized.</w:t>
      </w:r>
    </w:p>
    <w:p>
      <w:r>
        <w:t>The President,</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